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0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1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____________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11"/>
        <w:jc w:val="both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                                                                                     "___" ____________ 202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_____________ действующего на основании д_____________ , с одной стороны,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 , именуемое в дальнейшем Поставщик, в лице _____________ , действующего на основании _____________ , с другой стороны, именуемые в дальнейшем Стороны, заключили настоящий Договор (далее – Договор) о нижеследующем: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3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11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</w:t>
      </w:r>
      <w:r>
        <w:rPr>
          <w:rFonts w:ascii="Times New Roman" w:hAnsi="Times New Roman" w:cs="Times New Roman"/>
        </w:rPr>
        <w:t xml:space="preserve">с настоящим Договоро</w:t>
      </w:r>
      <w:r>
        <w:rPr>
          <w:rFonts w:ascii="Times New Roman" w:hAnsi="Times New Roman" w:cs="Times New Roman"/>
        </w:rPr>
        <w:t xml:space="preserve">м и со Спецификацией (Приложение № 1 к настоящему Договору) Поставщик обязуется передать Покупателю продукцию производственно-технического назначения – оргтехнику (черно-белое МФУ А4) (далее - продукция), а Покупатель обязуется 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1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2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Цена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1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настоящего Договора составляет </w:t>
      </w:r>
      <w:r>
        <w:rPr>
          <w:rFonts w:ascii="Times New Roman" w:hAnsi="Times New Roman"/>
          <w:sz w:val="24"/>
          <w:szCs w:val="24"/>
        </w:rPr>
        <w:t xml:space="preserve">____________ </w:t>
      </w:r>
      <w:r>
        <w:rPr>
          <w:rFonts w:ascii="Times New Roman" w:hAnsi="Times New Roman" w:cs="Times New Roman"/>
          <w:sz w:val="24"/>
          <w:szCs w:val="24"/>
        </w:rPr>
        <w:t xml:space="preserve">(), в т.ч. НДС </w:t>
      </w:r>
      <w:r>
        <w:rPr>
          <w:rFonts w:ascii="Times New Roman" w:hAnsi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 xml:space="preserve">() 22%.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7 (семи) рабочих дней с даты подписания универсального передаточного документа (УПД).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Цена за единицу продукции фиксируется в соответст</w:t>
      </w:r>
      <w:r>
        <w:rPr>
          <w:rFonts w:ascii="Times New Roman" w:hAnsi="Times New Roman" w:cs="Times New Roman"/>
        </w:rPr>
        <w:t xml:space="preserve">вии с условиями проведенной закупочной процедуры и не подлежит изменению Поставщиком в одностороннем порядке до полного исполнения договора. Продукция оплачивается Покупателем по ценам, отраженным в Спецификации на основании УПД, выставленного Поставщиком.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Индексация цены Договора не предусматривается.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Расчеты по Договору осуществляются 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производится путем перечисления денежных средств на расчетный счет Поставщика,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Обязательства по оплате продукции считаются выполненными с даты списания денежных средств с расчетного счета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Стоимость тары, упаковки, маркировки, транспортных расходов, </w:t>
      </w:r>
      <w:r>
        <w:rPr>
          <w:rFonts w:ascii="Times New Roman" w:hAnsi="Times New Roman" w:eastAsia="PT Astra Serif" w:cs="Times New Roman"/>
        </w:rPr>
        <w:t xml:space="preserve">расходы по разгрузке/погрузке</w:t>
      </w:r>
      <w:r>
        <w:rPr>
          <w:rFonts w:ascii="Times New Roman" w:hAnsi="Times New Roman" w:cs="Times New Roman"/>
        </w:rPr>
        <w:t xml:space="preserve"> включены в стоимость продукции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</w:t>
      </w:r>
      <w:r>
        <w:rPr>
          <w:rFonts w:ascii="Times New Roman" w:hAnsi="Times New Roman" w:cs="Times New Roman"/>
        </w:rPr>
        <w:t xml:space="preserve">оставщику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 на суммы задолженности Поставщика перед Покупателем, в том числе</w:t>
      </w:r>
      <w:r>
        <w:rPr>
          <w:rFonts w:ascii="Times New Roman" w:hAnsi="Times New Roman" w:cs="Times New Roman"/>
        </w:rPr>
        <w:t xml:space="preserve">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поставленной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1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2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</w:pPr>
      <w:r>
        <w:rPr>
          <w:rFonts w:ascii="Times New Roman" w:hAnsi="Times New Roman" w:cs="Times New Roman"/>
        </w:rPr>
        <w:t xml:space="preserve">Поставка продукции производится в соответствии со Спецификацией</w:t>
      </w:r>
      <w:r>
        <w:rPr>
          <w:rFonts w:ascii="Times New Roman" w:hAnsi="Times New Roman" w:eastAsia="PT Astra Serif" w:cs="Times New Roman"/>
        </w:rPr>
        <w:t xml:space="preserve"> к Договору.</w:t>
      </w:r>
      <w:r>
        <w:rPr>
          <w:rFonts w:ascii="Times New Roman" w:hAnsi="Times New Roman" w:cs="Times New Roman"/>
        </w:rPr>
        <w:t xml:space="preserve"> Поставщик обеспечивает доставку продукции по адресу: </w:t>
      </w:r>
      <w:r>
        <w:rPr>
          <w:rFonts w:ascii="Times New Roman" w:hAnsi="Times New Roman" w:cs="Times New Roman"/>
        </w:rPr>
        <w:t xml:space="preserve">675007 Амурская область, г. Благовещенск, ул. Нагорная 19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Контактные данные: </w:t>
      </w:r>
      <w:r>
        <w:rPr>
          <w:rFonts w:ascii="Times New Roman" w:hAnsi="Times New Roman"/>
        </w:rPr>
        <w:t xml:space="preserve">_____________</w:t>
      </w:r>
      <w:r>
        <w:rPr>
          <w:rFonts w:ascii="Times New Roman" w:hAnsi="Times New Roman" w:cs="Times New Roman"/>
        </w:rPr>
        <w:t xml:space="preserve">.</w:t>
      </w:r>
      <w:bookmarkStart w:id="0" w:name="_GoBack"/>
      <w:r/>
      <w:bookmarkEnd w:id="0"/>
      <w:r/>
      <w:r/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поставить Покупателю продукцию в течение 60 (шестидесяти) календарных дней с даты заключения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1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и оценка качества продукции осуществляется в полном соответствии с обязательными требованиями, предъявляемыми к качеству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1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каждой единицей продукции поставляется паспорт, гарантийный талон, техническая и эксплуатационная документация на русском языке, копии соответствующих сертификатов на поставляемую продукцию.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1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1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новой, без повреждений, с</w:t>
      </w:r>
      <w:r>
        <w:rPr>
          <w:rFonts w:ascii="Times New Roman" w:hAnsi="Times New Roman" w:cs="Times New Roman"/>
          <w:sz w:val="24"/>
          <w:szCs w:val="24"/>
        </w:rPr>
        <w:t xml:space="preserve">ледов воздействия влаги и следов вскрытия, иметь год изготовления заводом-изготовителем не ранее 2024 года. Продукция должна соответствовать действующим требованиям технических регламентов, ГОСТ 15467-79 и стандартов, применяемых к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1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поставлена в упаковке производителя, обеспечивающей её сохранность от всякого рода повреждений при перевозке любыми видами транспорта, а также предохранять поставляемую продукцию от внешних воздействий по ГОСТ 23170-78.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1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Транспортная маркировка должна содержать манипуляционные знаки, основные, дополнительные и информационные надписи по ГОСТ 14192-96.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1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</w:t>
      </w:r>
      <w:r>
        <w:rPr>
          <w:rFonts w:ascii="Times New Roman" w:hAnsi="Times New Roman" w:cs="Times New Roman"/>
          <w:sz w:val="24"/>
          <w:szCs w:val="24"/>
        </w:rPr>
        <w:t xml:space="preserve">ься 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хранением, отправкой (продажей) продукции, возмещает Поставщик.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1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Гарантийный срок на продукцию должен соответствовать, либо превышать срок гарантии производителя, и составлять не менее 36 (тридцати</w:t>
      </w:r>
      <w:r>
        <w:rPr>
          <w:rFonts w:ascii="Times New Roman" w:hAnsi="Times New Roman" w:cs="Times New Roman"/>
          <w:sz w:val="24"/>
          <w:szCs w:val="24"/>
        </w:rPr>
        <w:t xml:space="preserve"> шести) месяцев для оборудования и не менее 12 (двенадцати) месяцев для комплектующих и расходных материалов с даты подписания Покупателем (грузополучателем) УПД при наличии акта входного контроля. Гарантия распространяется на всю поставляемую продукцию.  </w: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911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912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 электронной почты для направления уведомлений указан в п. 3.1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Передать Покупателю продукцию, которая должна соответствовать требованиям, предусмотренным п. 3.3-3.4 настоящего Договора в момент передачи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Устранять в течение гарантийного срока дефекты</w:t>
      </w:r>
      <w:r>
        <w:rPr>
          <w:rFonts w:ascii="Times New Roman" w:hAnsi="Times New Roman" w:cs="Times New Roman"/>
        </w:rPr>
        <w:t xml:space="preserve">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Гарантийное </w:t>
      </w:r>
      <w:r>
        <w:rPr>
          <w:rFonts w:ascii="Times New Roman" w:hAnsi="Times New Roman" w:cs="Times New Roman"/>
        </w:rPr>
        <w:t xml:space="preserve">обслуживание для поставленной продукции включает авансовую замену при возникновении неисправностей. Авансовая замена выполняется в течении 5 рабочих дней с момента письменного уведомления Поставщика при возникновении неисправностей указанного оборудования.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Вывезти некачественную продукцию и заменить ее. Все необходимые расходы по замене и доставке продукции несет Поставщик. Некачественная (некомплектная) продукция считается не поставленной, и подлежит замене.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Предоставить Покупателю УПД, выставл</w:t>
      </w:r>
      <w:r>
        <w:rPr>
          <w:rFonts w:ascii="Times New Roman" w:hAnsi="Times New Roman" w:cs="Times New Roman"/>
        </w:rPr>
        <w:t xml:space="preserve">енный в сроки и оформленный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изменений в цепочке собственников (учредителей, участников, бенефициаров, и (или) исполнительных органов) поставщика, Поставщик обязан предоставить информацию по форме Приложения № 2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принять и оплатить продукцию в соответствии с условиями настоящего Договора;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2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незамедлительно уведомить Поставщика о выявленных несоответствиях или недостатках продукции в случае отказа от переданной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</w:pPr>
      <w:r>
        <w:rPr>
          <w:color w:val="000000" w:themeColor="text1"/>
          <w:szCs w:val="24"/>
        </w:rPr>
        <w:t xml:space="preserve">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поставля</w:t>
      </w:r>
      <w:r>
        <w:rPr>
          <w:color w:val="000000" w:themeColor="text1"/>
          <w:szCs w:val="24"/>
        </w:rPr>
        <w:t xml:space="preserve">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</w:r>
      <w:r/>
    </w:p>
    <w:p>
      <w:pPr>
        <w:ind w:left="1276"/>
        <w:jc w:val="both"/>
        <w:spacing w:line="276" w:lineRule="auto"/>
        <w:tabs>
          <w:tab w:val="left" w:pos="567" w:leader="none"/>
        </w:tabs>
      </w:pPr>
      <w:r/>
      <w:r/>
    </w:p>
    <w:p>
      <w:pPr>
        <w:pStyle w:val="935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567" w:leader="none"/>
        </w:tabs>
        <w:rPr>
          <w:szCs w:val="24"/>
        </w:rPr>
      </w:pPr>
      <w:r>
        <w:rPr>
          <w:rFonts w:eastAsia="PT Astra Serif"/>
          <w:b/>
          <w:szCs w:val="24"/>
        </w:rPr>
        <w:t xml:space="preserve">Антикоррупционная оговорка</w:t>
      </w:r>
      <w:r>
        <w:rPr>
          <w:szCs w:val="24"/>
        </w:rPr>
      </w:r>
      <w:r>
        <w:rPr>
          <w:szCs w:val="24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rPr>
          <w:rFonts w:eastAsia="PT Astra Serif"/>
          <w:spacing w:val="-1"/>
          <w:szCs w:val="24"/>
        </w:rP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rFonts w:eastAsia="PT Astra Serif"/>
          <w:spacing w:val="-1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rFonts w:eastAsia="PT Astra Serif"/>
          <w:spacing w:val="-1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rFonts w:eastAsia="PT Astra Serif"/>
          <w:spacing w:val="-1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</w:t>
      </w:r>
      <w:r>
        <w:rPr>
          <w:rFonts w:eastAsia="PT Astra Serif"/>
          <w:spacing w:val="-1"/>
          <w:szCs w:val="24"/>
        </w:rPr>
        <w:t xml:space="preserve">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rFonts w:eastAsia="PT Astra Serif"/>
          <w:spacing w:val="-1"/>
          <w:szCs w:val="24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</w:t>
      </w:r>
      <w:r>
        <w:rPr>
          <w:rFonts w:eastAsia="PT Astra Serif"/>
          <w:spacing w:val="-1"/>
          <w:szCs w:val="24"/>
        </w:rPr>
        <w:t xml:space="preserve">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Каналы связи Линия доверия Группы РусГидро: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35"/>
        <w:numPr>
          <w:ilvl w:val="2"/>
          <w:numId w:val="15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Электронная почта: ld@rushydro.ru;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35"/>
        <w:numPr>
          <w:ilvl w:val="2"/>
          <w:numId w:val="15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  <w:t xml:space="preserve">Специальная форма «обратной связи», размещенная на официальном сайте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35"/>
        <w:numPr>
          <w:ilvl w:val="2"/>
          <w:numId w:val="15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35"/>
        <w:ind w:left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35"/>
        <w:numPr>
          <w:ilvl w:val="0"/>
          <w:numId w:val="15"/>
        </w:numPr>
        <w:ind w:left="0" w:firstLine="0"/>
        <w:jc w:val="center"/>
        <w:spacing w:line="276" w:lineRule="auto"/>
        <w:shd w:val="clear" w:color="auto" w:fill="ffffff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b/>
          <w:bCs/>
          <w:szCs w:val="24"/>
        </w:rPr>
        <w:t xml:space="preserve">Порядок приемки продукции</w:t>
      </w: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</w:t>
      </w:r>
      <w:r>
        <w:rPr>
          <w:rFonts w:ascii="Times New Roman" w:hAnsi="Times New Roman" w:cs="Times New Roman"/>
        </w:rPr>
        <w:t xml:space="preserve">тветствие продукции сведениям, указанным в транспортных и сопроводительных документах, а также принять эту продукцию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одностороннем порядке. Если Покупатель отказывается от переданной Поставщиком продукции, он обязан незамедлительно письмен</w:t>
      </w:r>
      <w:r>
        <w:rPr>
          <w:rFonts w:ascii="Times New Roman" w:hAnsi="Times New Roman" w:cs="Times New Roman"/>
        </w:rPr>
        <w:t xml:space="preserve">но уведомить Поставщика о выявленных несоответствиях или недостатках продукции и обеспечить сохранность продукции (ответственное хранение). Вызов представителя Поставщика 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</w:t>
      </w:r>
      <w:r>
        <w:rPr>
          <w:rFonts w:ascii="Times New Roman" w:hAnsi="Times New Roman" w:cs="Times New Roman"/>
        </w:rPr>
        <w:t xml:space="preserve">Покупателем в связи с принятием продукции на ответственное хранение, реализацией продукции или ее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</w:t>
      </w:r>
      <w:r>
        <w:rPr>
          <w:rFonts w:ascii="Times New Roman" w:hAnsi="Times New Roman" w:cs="Times New Roman"/>
        </w:rPr>
        <w:t xml:space="preserve">авно моментом перехода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УПД.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1"/>
        <w:spacing w:line="276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2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 случае нарушения Поставщиком обязательств по пост</w:t>
      </w:r>
      <w:r>
        <w:rPr>
          <w:rFonts w:ascii="Times New Roman" w:hAnsi="Times New Roman" w:cs="Times New Roman"/>
          <w:color w:val="000000" w:themeColor="text1"/>
        </w:rPr>
        <w:t xml:space="preserve">авке продукции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просрочки.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</w:rPr>
        <w:t xml:space="preserve">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В случае нарушения Покупателем сроков оплаты поставленной продукции, Поставщик вправе потребовать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сл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чае нарушения Поставщиком обязательств по поставке продукции,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</w:t>
      </w:r>
      <w:r>
        <w:rPr>
          <w:rFonts w:ascii="Times New Roman" w:hAnsi="Times New Roman" w:cs="Times New Roman"/>
        </w:rPr>
        <w:t xml:space="preserve"> вправе возвратить Поставщику продукцию, ранее поставленную по договору, и потребовать возврата уплаченных денежных средств, а также возмещения расходов, понесенных в связи с возвратом поставленной продукции в срок, указанный в соответствующем требовании. </w:t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Если в результате составления и выставления Поставщиком УПД с нарушением порядка и требований, установленных законодательством Росси</w:t>
      </w:r>
      <w:r>
        <w:rPr>
          <w:rFonts w:ascii="Times New Roman" w:hAnsi="Times New Roman" w:cs="Times New Roman"/>
        </w:rPr>
        <w:t xml:space="preserve">йской Федерации, Покупатель понес расходы, связанные с уплатой доначисленных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</w:t>
      </w:r>
      <w:r>
        <w:rPr>
          <w:rFonts w:ascii="Times New Roman" w:hAnsi="Times New Roman" w:cs="Times New Roman"/>
        </w:rPr>
        <w:t xml:space="preserve">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рабочих дней с даты получения соответствующего письменного требования Покупателя. </w:t>
      </w:r>
      <w:r>
        <w:rPr>
          <w:rFonts w:ascii="Times New Roman" w:hAnsi="Times New Roman" w:cs="Times New Roman"/>
        </w:rPr>
      </w:r>
      <w:r/>
    </w:p>
    <w:p>
      <w:pPr>
        <w:pStyle w:val="912"/>
        <w:ind w:left="0" w:right="0" w:firstLine="567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Поставщиком сроков, предусмотренных пунктом 4.1.6. настоящего</w:t>
      </w:r>
      <w:r>
        <w:rPr>
          <w:rFonts w:ascii="Times New Roman" w:hAnsi="Times New Roman" w:cs="Times New Roman"/>
        </w:rPr>
        <w:t xml:space="preserve"> </w:t>
      </w:r>
      <w:r/>
      <w:r>
        <w:rPr>
          <w:rFonts w:ascii="Times New Roman" w:hAnsi="Times New Roman" w:cs="Times New Roman"/>
        </w:rPr>
        <w:t xml:space="preserve">Договора, Покупатель также имеет право требовать от Поставщика уплаты штрафа в размере 50 </w:t>
      </w:r>
      <w:r/>
      <w:r>
        <w:rPr>
          <w:rFonts w:ascii="Times New Roman" w:hAnsi="Times New Roman" w:cs="Times New Roman"/>
        </w:rPr>
        <w:t xml:space="preserve">000 (пятидесяти тысяч) рублей за каждый случай нарушения.</w:t>
      </w:r>
      <w:r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35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eastAsia="Calibri"/>
          <w:szCs w:val="24"/>
        </w:rPr>
      </w:pPr>
      <w:r>
        <w:rPr>
          <w:szCs w:val="24"/>
        </w:rPr>
        <w:t xml:space="preserve">Ответственность Сторон в иных случаях определяется в соответствии с законодательством Российской Федерации.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center"/>
        <w:spacing w:line="276" w:lineRule="auto"/>
        <w:tabs>
          <w:tab w:val="left" w:pos="567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912"/>
        <w:numPr>
          <w:ilvl w:val="0"/>
          <w:numId w:val="15"/>
        </w:numPr>
        <w:ind w:left="0" w:firstLine="0"/>
        <w:jc w:val="center"/>
        <w:spacing w:line="276" w:lineRule="auto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споры или разногласия, возникающие между Сторонами при исполнении настоящего Договора,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невозможности разрешения разногласий путем переговоров они подлежат рассмотрению в Арбитражном суде Хабаровского края.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numPr>
          <w:ilvl w:val="1"/>
          <w:numId w:val="15"/>
        </w:numPr>
        <w:ind w:left="0"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jc w:val="center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b/>
          <w:color w:val="000000" w:themeColor="text1"/>
          <w:szCs w:val="24"/>
        </w:rPr>
        <w:t xml:space="preserve">10. Особые положения</w:t>
      </w:r>
      <w:r>
        <w:rPr>
          <w:rFonts w:eastAsia="Liberation Serif"/>
          <w:b/>
          <w:color w:val="000000"/>
          <w:szCs w:val="24"/>
        </w:rPr>
        <w:t xml:space="preserve"> 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284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10.1. Поставщик обязуется не привлекать и не допускать привлечения к исполнению обязательств по Договору организации: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935"/>
        <w:numPr>
          <w:ilvl w:val="0"/>
          <w:numId w:val="21"/>
        </w:numPr>
        <w:ind w:left="0" w:firstLine="0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 xml:space="preserve">имеющие признаки недобросовестности, опред</w:t>
      </w:r>
      <w:r>
        <w:rPr>
          <w:rFonts w:eastAsia="Liberation Serif"/>
          <w:color w:val="000000" w:themeColor="text1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0" w:tooltip="consultantplus://offline/ref=94D5CE8889791A29DE57299515463A9D6134D8237B999C803E6F853513x2A2P" w:history="1">
        <w:r>
          <w:rPr>
            <w:rFonts w:eastAsia="Liberation Serif"/>
            <w:color w:val="000000" w:themeColor="text1"/>
            <w:szCs w:val="24"/>
          </w:rPr>
          <w:t xml:space="preserve">№ 18162/09</w:t>
        </w:r>
      </w:hyperlink>
      <w:r>
        <w:rPr>
          <w:rFonts w:eastAsia="Liberation Serif"/>
          <w:color w:val="000000" w:themeColor="text1"/>
          <w:szCs w:val="24"/>
        </w:rPr>
        <w:t xml:space="preserve"> и от 25.05.2010 </w:t>
      </w:r>
      <w:hyperlink r:id="rId11" w:tooltip="consultantplus://offline/ref=94D5CE8889791A29DE57299515463A9D6135D2287D929C803E6F853513x2A2P" w:history="1">
        <w:r>
          <w:rPr>
            <w:rFonts w:eastAsia="Liberation Serif"/>
            <w:color w:val="000000" w:themeColor="text1"/>
            <w:szCs w:val="24"/>
          </w:rPr>
          <w:t xml:space="preserve">№ 15658/09</w:t>
        </w:r>
      </w:hyperlink>
      <w:r>
        <w:rPr>
          <w:rFonts w:eastAsia="Liberation Serif"/>
          <w:color w:val="000000" w:themeColor="text1"/>
          <w:szCs w:val="24"/>
        </w:rPr>
        <w:t xml:space="preserve">, согласно которым при оценке необоснованной налоговой выг</w:t>
      </w:r>
      <w:r>
        <w:rPr>
          <w:rFonts w:eastAsia="Liberation Serif"/>
          <w:color w:val="000000" w:themeColor="text1"/>
          <w:szCs w:val="24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935"/>
        <w:numPr>
          <w:ilvl w:val="0"/>
          <w:numId w:val="21"/>
        </w:numPr>
        <w:ind w:left="0" w:firstLine="0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 xml:space="preserve">соответствующие </w:t>
      </w:r>
      <w:hyperlink r:id="rId12" w:tooltip="consultantplus://offline/ref=79440D5123ABA6A25F43346AB59DBAAC7032C8E1556DA64FAED62E167F76889C2B7C475C32EFC59BJ8rDH" w:history="1">
        <w:r>
          <w:rPr>
            <w:rFonts w:eastAsia="Liberation Serif"/>
            <w:color w:val="000000" w:themeColor="text1"/>
            <w:szCs w:val="24"/>
          </w:rPr>
          <w:t xml:space="preserve">Критери</w:t>
        </w:r>
      </w:hyperlink>
      <w:r>
        <w:rPr>
          <w:rFonts w:eastAsia="Liberation Serif"/>
          <w:color w:val="000000" w:themeColor="text1"/>
          <w:szCs w:val="24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10.2. Поставщик обязуется незам</w:t>
      </w:r>
      <w:r>
        <w:rPr>
          <w:rFonts w:eastAsia="Liberation Serif"/>
          <w:color w:val="000000" w:themeColor="text1"/>
          <w:szCs w:val="24"/>
        </w:rPr>
        <w:t xml:space="preserve">едлительно уведомить Покупателя о появлении в ходе исполнения Договора у привлеченных Поставщиком Соисполнителей признаков недобросовестности, указанных в пункте 10.1 Договора, а также обеспечить прекращение участия таких организаций в исполнении Договора.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10.3. В случае нарушения Поставщиком обязательств, установленных пунктами 10.1, 1</w:t>
      </w:r>
      <w:r>
        <w:rPr>
          <w:rFonts w:eastAsia="Liberation Serif"/>
          <w:color w:val="000000" w:themeColor="text1"/>
          <w:szCs w:val="24"/>
        </w:rPr>
        <w:t xml:space="preserve">0.2 Договора, Покупатель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</w:t>
      </w:r>
      <w:r>
        <w:rPr>
          <w:rFonts w:eastAsia="Liberation Serif"/>
          <w:color w:val="000000" w:themeColor="text1"/>
          <w:szCs w:val="24"/>
        </w:rPr>
        <w:t xml:space="preserve">десяти) рабочих дней с даты получения Поставщиком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Покупатель не отзовет указанное уведомление по </w:t>
      </w:r>
      <w:r>
        <w:rPr>
          <w:rFonts w:eastAsia="Liberation Serif"/>
          <w:color w:val="000000" w:themeColor="text1"/>
          <w:szCs w:val="24"/>
        </w:rPr>
        <w:t xml:space="preserve">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10.4. Поставщик обязан уплатить Покупателю </w:t>
      </w:r>
      <w:r>
        <w:rPr>
          <w:rFonts w:eastAsia="Liberation Serif"/>
          <w:color w:val="000000" w:themeColor="text1"/>
          <w:szCs w:val="24"/>
        </w:rPr>
        <w:t xml:space="preserve">штраф в размере суммы денежных средств, перечисленных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10.1, 10.2 Договора.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10.5. </w:t>
      </w:r>
      <w:bookmarkStart w:id="1" w:name="_Ref373243071"/>
      <w:r>
        <w:rPr>
          <w:rFonts w:eastAsia="Liberation Serif"/>
          <w:color w:val="000000" w:themeColor="text1"/>
          <w:szCs w:val="24"/>
        </w:rPr>
        <w:t xml:space="preserve">Штраф, предусмотренный пунктом 10.4 Договора, оплачивается Поставщиком в течение 10 (десяти) рабочих дней</w:t>
      </w:r>
      <w:r>
        <w:rPr>
          <w:rFonts w:eastAsia="Liberation Serif"/>
          <w:color w:val="000000" w:themeColor="text1"/>
          <w:szCs w:val="24"/>
        </w:rPr>
        <w:t xml:space="preserve"> с даты получения соответствующего письменного требования Покупателя. Покупатель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10.3 Договора.</w:t>
      </w:r>
      <w:bookmarkEnd w:id="1"/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10.6. Покупатель вправе приостановить осуществление любых платежей по Договору, причитающи</w:t>
      </w:r>
      <w:r>
        <w:rPr>
          <w:rFonts w:eastAsia="Liberation Serif"/>
          <w:color w:val="000000" w:themeColor="text1"/>
          <w:szCs w:val="24"/>
        </w:rPr>
        <w:t xml:space="preserve">хся Поставщику, независимо от наличия оснований и наступления сроков таких платежей, до уплаты Поставщиком штрафа, предусмотренного пунктом 10.4 Договора. При этом Покупатель не будет считаться просрочившим и/ или нарушившим свои обязательства по Договору.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ind w:hanging="142"/>
        <w:jc w:val="both"/>
        <w:spacing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10.7. 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center"/>
        <w:spacing w:line="276" w:lineRule="auto"/>
        <w:tabs>
          <w:tab w:val="left" w:pos="426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 Настоящий Договор вступает в действие с даты подписания и действует по_________ года, а в части неисполненных обязательств – до полного их исполнения.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 Все приложения, изменения и дополнения к настоящему договору являются его неотъемлемой частью, должны быть составлены в письменной форме и подписаны обеими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 В случае изменения у 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  <w:tab w:val="left" w:pos="1276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11.6 </w:t>
      </w:r>
      <w:r>
        <w:rPr>
          <w:rFonts w:ascii="Times New Roman" w:hAnsi="Times New Roman" w:cs="Times New Roman"/>
          <w:color w:val="000000" w:themeColor="text1"/>
        </w:rPr>
        <w:t xml:space="preserve">Стороны договорились в рамках исполнения Договора о возможности </w:t>
      </w:r>
      <w:r>
        <w:rPr>
          <w:rFonts w:ascii="Times New Roman" w:hAnsi="Times New Roman" w:cs="Times New Roman"/>
          <w:color w:val="000000" w:themeColor="text1"/>
        </w:rPr>
        <w:t xml:space="preserve">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Соглашения, а так</w:t>
      </w:r>
      <w:r>
        <w:rPr>
          <w:rFonts w:ascii="Times New Roman" w:hAnsi="Times New Roman" w:cs="Times New Roman"/>
          <w:color w:val="000000" w:themeColor="text1"/>
        </w:rPr>
        <w:t xml:space="preserve">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Поставщиком другого операт</w:t>
      </w:r>
      <w:r>
        <w:rPr>
          <w:rFonts w:ascii="Times New Roman" w:hAnsi="Times New Roman" w:cs="Times New Roman"/>
          <w:color w:val="000000" w:themeColor="text1"/>
        </w:rPr>
        <w:t xml:space="preserve">ора электронного документооборота (аккредитованного ФНС РФ)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Покупателя и Поставщика.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12"/>
        <w:ind w:firstLine="0"/>
        <w:jc w:val="both"/>
        <w:spacing w:line="276" w:lineRule="auto"/>
        <w:tabs>
          <w:tab w:val="left" w:pos="567" w:leader="none"/>
          <w:tab w:val="left" w:pos="1276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11.7 Договор заключается в электронной форме </w:t>
      </w:r>
      <w:r>
        <w:rPr>
          <w:rFonts w:ascii="Times New Roman" w:hAnsi="Times New Roman" w:cs="Times New Roman"/>
          <w:color w:val="000000" w:themeColor="text1"/>
        </w:rPr>
        <w:t xml:space="preserve">с использованием функционала э</w:t>
      </w:r>
      <w:r>
        <w:rPr>
          <w:rFonts w:ascii="Times New Roman" w:hAnsi="Times New Roman" w:cs="Times New Roman"/>
          <w:color w:val="000000" w:themeColor="text1"/>
        </w:rPr>
        <w:t xml:space="preserve">лектронной торговой площадки </w:t>
      </w:r>
      <w:r>
        <w:rPr>
          <w:rFonts w:ascii="Times New Roman" w:hAnsi="Times New Roman" w:cs="Times New Roman"/>
          <w:color w:val="000000" w:themeColor="text1"/>
        </w:rPr>
        <w:t xml:space="preserve">путем его подписания усиленными квалифицированными электронными подписями уполномоченных представителей Сторон. 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1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2"/>
        <w:ind w:left="1276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spacing w:line="276" w:lineRule="auto"/>
        <w:shd w:val="clear" w:color="ffffff" w:fill="ffffff"/>
        <w:tabs>
          <w:tab w:val="left" w:pos="4601" w:leader="none"/>
          <w:tab w:val="left" w:pos="9639" w:leader="none"/>
        </w:tabs>
        <w:rPr>
          <w:rFonts w:eastAsia="PT Astra Serif"/>
          <w:szCs w:val="24"/>
        </w:rPr>
      </w:pP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678"/>
        <w:gridCol w:w="478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textDirection w:val="lrTb"/>
            <w:noWrap w:val="false"/>
          </w:tcPr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b/>
                <w:szCs w:val="24"/>
              </w:rPr>
              <w:t xml:space="preserve">ПОКУПАТЕЛЬ:</w:t>
            </w:r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r/>
          </w:p>
          <w:p>
            <w:pPr>
              <w:ind w:right="-143"/>
              <w:tabs>
                <w:tab w:val="left" w:pos="0" w:leader="none"/>
              </w:tabs>
              <w:rPr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szCs w:val="24"/>
              </w:rPr>
              <w:t xml:space="preserve">_____________________ /</w:t>
            </w:r>
            <w:r>
              <w:t xml:space="preserve">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right="-143"/>
              <w:tabs>
                <w:tab w:val="left" w:pos="0" w:leader="none"/>
              </w:tabs>
              <w:rPr>
                <w:rFonts w:ascii="Liberation Serif" w:hAnsi="Liberation Serif" w:eastAsia="Liberation Serif" w:cs="Liberation Seri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szCs w:val="24"/>
              </w:rPr>
              <w:t xml:space="preserve">м. п.</w:t>
            </w:r>
            <w:r>
              <w:rPr>
                <w:rFonts w:ascii="Liberation Serif" w:hAnsi="Liberation Serif" w:eastAsia="Liberation Serif" w:cs="Liberation Serif"/>
              </w:rPr>
            </w:r>
            <w:r>
              <w:rPr>
                <w:rFonts w:ascii="Liberation Serif" w:hAnsi="Liberation Serif" w:eastAsia="Liberation Serif" w:cs="Liberation Serif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textDirection w:val="lrTb"/>
            <w:noWrap w:val="false"/>
          </w:tcPr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b/>
                <w:szCs w:val="24"/>
              </w:rPr>
              <w:t xml:space="preserve">ПОСТАВЩИК:</w:t>
            </w:r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/>
            <w:r/>
          </w:p>
          <w:p>
            <w:pPr>
              <w:ind w:right="-143"/>
              <w:tabs>
                <w:tab w:val="left" w:pos="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szCs w:val="24"/>
              </w:rPr>
              <w:t xml:space="preserve">____________________/</w:t>
            </w:r>
            <w:r>
              <w:t xml:space="preserve"> </w:t>
            </w:r>
            <w:r/>
          </w:p>
          <w:p>
            <w:pPr>
              <w:ind w:right="-143"/>
              <w:tabs>
                <w:tab w:val="left" w:pos="0" w:leader="none"/>
              </w:tabs>
              <w:rPr>
                <w:rFonts w:eastAsia="Liberation Seri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Liberation Serif"/>
                <w:szCs w:val="24"/>
              </w:rPr>
              <w:t xml:space="preserve">м. п.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</w:tc>
      </w:tr>
    </w:tbl>
    <w:p>
      <w:pPr>
        <w:ind w:left="12762"/>
        <w:spacing w:line="276" w:lineRule="auto"/>
        <w:rPr>
          <w:rFonts w:eastAsia="PT Astra Serif"/>
          <w:b/>
          <w:szCs w:val="24"/>
        </w:rPr>
        <w:sectPr>
          <w:footnotePr/>
          <w:endnotePr/>
          <w:type w:val="nextPage"/>
          <w:pgSz w:w="11906" w:h="16838" w:orient="portrait"/>
          <w:pgMar w:top="567" w:right="707" w:bottom="851" w:left="1701" w:header="709" w:footer="709" w:gutter="0"/>
          <w:cols w:num="1" w:sep="0" w:space="708" w:equalWidth="1"/>
          <w:docGrid w:linePitch="360"/>
        </w:sectPr>
      </w:pPr>
      <w:r>
        <w:rPr>
          <w:rFonts w:eastAsia="PT Astra Serif"/>
          <w:b/>
          <w:szCs w:val="24"/>
        </w:rPr>
      </w:r>
      <w:r>
        <w:rPr>
          <w:rFonts w:eastAsia="PT Astra Serif"/>
          <w:b/>
          <w:szCs w:val="24"/>
        </w:rPr>
      </w:r>
      <w:r>
        <w:rPr>
          <w:rFonts w:eastAsia="PT Astra Serif"/>
          <w:b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Приложение № 1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к договору поставки №________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от ___________ 2026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5245"/>
        <w:keepLines/>
        <w:keepNext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  <w:b/>
        </w:rPr>
        <w:t xml:space="preserve">СПЕЦИФИКАЦИЯ</w:t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W w:w="4609" w:type="pct"/>
        <w:tblInd w:w="846" w:type="dxa"/>
        <w:tblLayout w:type="fixed"/>
        <w:tblLook w:val="04A0" w:firstRow="1" w:lastRow="0" w:firstColumn="1" w:lastColumn="0" w:noHBand="0" w:noVBand="1"/>
      </w:tblPr>
      <w:tblGrid>
        <w:gridCol w:w="522"/>
        <w:gridCol w:w="4735"/>
        <w:gridCol w:w="2153"/>
        <w:gridCol w:w="1899"/>
        <w:gridCol w:w="704"/>
        <w:gridCol w:w="8"/>
        <w:gridCol w:w="776"/>
        <w:gridCol w:w="7"/>
        <w:gridCol w:w="1522"/>
        <w:gridCol w:w="1842"/>
        <w:gridCol w:w="37"/>
      </w:tblGrid>
      <w:tr>
        <w:tblPrEx/>
        <w:trPr>
          <w:gridAfter w:val="1"/>
          <w:trHeight w:val="46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  <w:color w:val="000000" w:themeColor="text1"/>
                <w:szCs w:val="24"/>
              </w:rPr>
            </w:pPr>
            <w:r>
              <w:rPr>
                <w:bCs/>
                <w:iCs/>
                <w:color w:val="000000" w:themeColor="text1"/>
                <w:szCs w:val="24"/>
              </w:rPr>
              <w:t xml:space="preserve">№ </w:t>
            </w:r>
            <w:r>
              <w:rPr>
                <w:bCs/>
                <w:iCs/>
                <w:color w:val="000000" w:themeColor="text1"/>
                <w:szCs w:val="24"/>
              </w:rPr>
            </w:r>
            <w:r>
              <w:rPr>
                <w:bCs/>
                <w:iCs/>
                <w:color w:val="000000" w:themeColor="text1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3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  <w:color w:val="000000" w:themeColor="text1"/>
                <w:szCs w:val="24"/>
              </w:rPr>
            </w:pPr>
            <w:r>
              <w:rPr>
                <w:bCs/>
                <w:iCs/>
                <w:color w:val="000000" w:themeColor="text1"/>
                <w:szCs w:val="24"/>
              </w:rPr>
              <w:t xml:space="preserve">Наименование продукции</w:t>
            </w:r>
            <w:r>
              <w:rPr>
                <w:bCs/>
                <w:iCs/>
                <w:color w:val="000000" w:themeColor="text1"/>
                <w:szCs w:val="24"/>
              </w:rPr>
            </w:r>
            <w:r>
              <w:rPr>
                <w:bCs/>
                <w:iCs/>
                <w:color w:val="000000" w:themeColor="text1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  <w:color w:val="000000" w:themeColor="text1"/>
                <w:szCs w:val="24"/>
              </w:rPr>
            </w:pPr>
            <w:r>
              <w:rPr>
                <w:bCs/>
                <w:iCs/>
                <w:color w:val="000000" w:themeColor="text1"/>
                <w:szCs w:val="24"/>
              </w:rPr>
              <w:t xml:space="preserve">Марка, производитель </w:t>
            </w:r>
            <w:r>
              <w:rPr>
                <w:bCs/>
                <w:iCs/>
                <w:color w:val="000000" w:themeColor="text1"/>
                <w:szCs w:val="24"/>
              </w:rPr>
            </w:r>
            <w:r>
              <w:rPr>
                <w:bCs/>
                <w:iCs/>
                <w:color w:val="000000" w:themeColor="text1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  <w:color w:val="000000" w:themeColor="text1"/>
                <w:szCs w:val="24"/>
              </w:rPr>
            </w:pPr>
            <w:r>
              <w:rPr>
                <w:bCs/>
                <w:iCs/>
                <w:color w:val="000000" w:themeColor="text1"/>
                <w:szCs w:val="24"/>
              </w:rPr>
              <w:t xml:space="preserve">Страна происхождения продукции</w:t>
            </w:r>
            <w:r>
              <w:rPr>
                <w:bCs/>
                <w:iCs/>
                <w:color w:val="000000" w:themeColor="text1"/>
                <w:szCs w:val="24"/>
              </w:rPr>
            </w:r>
            <w:r>
              <w:rPr>
                <w:bCs/>
                <w:iCs/>
                <w:color w:val="000000" w:themeColor="text1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  <w:color w:val="000000" w:themeColor="text1"/>
                <w:szCs w:val="24"/>
              </w:rPr>
            </w:pPr>
            <w:r>
              <w:rPr>
                <w:bCs/>
                <w:iCs/>
                <w:color w:val="000000" w:themeColor="text1"/>
                <w:szCs w:val="24"/>
              </w:rPr>
              <w:t xml:space="preserve">Ед. изм.</w:t>
            </w:r>
            <w:r>
              <w:rPr>
                <w:bCs/>
                <w:iCs/>
                <w:color w:val="000000" w:themeColor="text1"/>
                <w:szCs w:val="24"/>
              </w:rPr>
            </w:r>
            <w:r>
              <w:rPr>
                <w:bCs/>
                <w:iCs/>
                <w:color w:val="000000" w:themeColor="text1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  <w:color w:val="000000" w:themeColor="text1"/>
                <w:szCs w:val="24"/>
              </w:rPr>
            </w:pPr>
            <w:r>
              <w:rPr>
                <w:bCs/>
                <w:iCs/>
                <w:color w:val="000000" w:themeColor="text1"/>
                <w:szCs w:val="24"/>
              </w:rPr>
              <w:t xml:space="preserve">Кол-во</w:t>
            </w:r>
            <w:r>
              <w:rPr>
                <w:bCs/>
                <w:iCs/>
                <w:color w:val="000000" w:themeColor="text1"/>
                <w:szCs w:val="24"/>
              </w:rPr>
            </w:r>
            <w:r>
              <w:rPr>
                <w:bCs/>
                <w:iCs/>
                <w:color w:val="000000" w:themeColor="text1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  <w:color w:val="000000" w:themeColor="text1"/>
                <w:szCs w:val="24"/>
              </w:rPr>
            </w:pPr>
            <w:r>
              <w:rPr>
                <w:bCs/>
                <w:iCs/>
                <w:color w:val="000000" w:themeColor="text1"/>
                <w:szCs w:val="24"/>
              </w:rPr>
              <w:t xml:space="preserve">Цена в руб. без НДС</w:t>
            </w:r>
            <w:r>
              <w:rPr>
                <w:bCs/>
                <w:iCs/>
                <w:color w:val="000000" w:themeColor="text1"/>
                <w:szCs w:val="24"/>
              </w:rPr>
            </w:r>
            <w:r>
              <w:rPr>
                <w:bCs/>
                <w:iCs/>
                <w:color w:val="000000" w:themeColor="text1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  <w:color w:val="000000" w:themeColor="text1"/>
                <w:szCs w:val="24"/>
              </w:rPr>
            </w:pPr>
            <w:r>
              <w:rPr>
                <w:bCs/>
                <w:iCs/>
                <w:color w:val="000000" w:themeColor="text1"/>
                <w:szCs w:val="24"/>
              </w:rPr>
              <w:t xml:space="preserve">Сумма, руб. без НДС</w:t>
            </w:r>
            <w:r>
              <w:rPr>
                <w:bCs/>
                <w:iCs/>
                <w:color w:val="000000" w:themeColor="text1"/>
                <w:szCs w:val="24"/>
              </w:rPr>
            </w:r>
            <w:r>
              <w:rPr>
                <w:bCs/>
                <w:iCs/>
                <w:color w:val="000000" w:themeColor="text1"/>
                <w:szCs w:val="24"/>
              </w:rPr>
            </w:r>
          </w:p>
        </w:tc>
      </w:tr>
      <w:tr>
        <w:tblPrEx/>
        <w:trPr>
          <w:gridAfter w:val="1"/>
          <w:trHeight w:val="868"/>
        </w:trPr>
        <w:tc>
          <w:tcPr>
            <w:shd w:val="clear" w:color="auto" w:fill="auto"/>
            <w:tcBorders>
              <w:top w:val="single" w:color="808080" w:sz="4" w:space="0"/>
              <w:left w:val="single" w:color="808080" w:sz="4" w:space="0"/>
              <w:bottom w:val="none" w:color="000000" w:sz="4" w:space="0"/>
              <w:right w:val="single" w:color="808080" w:sz="4" w:space="0"/>
            </w:tcBorders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1 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473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215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190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808080" w:sz="4" w:space="0"/>
              <w:left w:val="none" w:color="000000" w:sz="4" w:space="0"/>
              <w:bottom w:val="none" w:color="000000" w:sz="4" w:space="0"/>
              <w:right w:val="single" w:color="808080" w:sz="4" w:space="0"/>
            </w:tcBorders>
            <w:tcW w:w="704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Borders>
              <w:top w:val="single" w:color="808080" w:sz="4" w:space="0"/>
              <w:left w:val="none" w:color="000000" w:sz="4" w:space="0"/>
              <w:bottom w:val="none" w:color="000000" w:sz="4" w:space="0"/>
              <w:right w:val="single" w:color="808080" w:sz="4" w:space="0"/>
            </w:tcBorders>
            <w:tcW w:w="784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gridSpan w:val="2"/>
            <w:shd w:val="clear" w:color="auto" w:fill="auto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153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984"/>
        </w:trPr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2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ИТОГО:</w:t>
            </w:r>
            <w:r>
              <w:rPr>
                <w:bCs/>
                <w:color w:val="000000" w:themeColor="text1"/>
                <w:szCs w:val="24"/>
              </w:rPr>
            </w:r>
            <w:r>
              <w:rPr>
                <w:bCs/>
                <w:color w:val="000000" w:themeColor="text1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83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Cs w:val="24"/>
              </w:rPr>
            </w:r>
            <w:r>
              <w:rPr>
                <w:bCs/>
                <w:color w:val="000000" w:themeColor="text1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х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525"/>
        </w:trPr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081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                               кроме того НДС 2</w:t>
            </w:r>
            <w:r>
              <w:rPr>
                <w:bCs/>
                <w:color w:val="000000" w:themeColor="text1"/>
                <w:szCs w:val="24"/>
                <w:lang w:val="en-US"/>
              </w:rPr>
              <w:t xml:space="preserve">2</w:t>
            </w:r>
            <w:r>
              <w:rPr>
                <w:bCs/>
                <w:color w:val="000000" w:themeColor="text1"/>
                <w:szCs w:val="24"/>
              </w:rPr>
              <w:t xml:space="preserve">%:</w:t>
            </w:r>
            <w:r>
              <w:rPr>
                <w:bCs/>
                <w:color w:val="000000" w:themeColor="text1"/>
                <w:szCs w:val="24"/>
              </w:rPr>
            </w:r>
            <w:r>
              <w:rPr>
                <w:bCs/>
                <w:color w:val="000000" w:themeColor="text1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23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525"/>
        </w:trPr>
        <w:tc>
          <w:tcPr>
            <w:gridSpan w:val="8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081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                           ВСЕГО с НДС 2</w:t>
            </w:r>
            <w:r>
              <w:rPr>
                <w:bCs/>
                <w:color w:val="000000" w:themeColor="text1"/>
                <w:szCs w:val="24"/>
                <w:lang w:val="en-US"/>
              </w:rPr>
              <w:t xml:space="preserve">2</w:t>
            </w:r>
            <w:r>
              <w:rPr>
                <w:bCs/>
                <w:color w:val="000000" w:themeColor="text1"/>
                <w:szCs w:val="24"/>
              </w:rPr>
              <w:t xml:space="preserve">%:</w:t>
            </w:r>
            <w:r>
              <w:rPr>
                <w:bCs/>
                <w:color w:val="000000" w:themeColor="text1"/>
                <w:szCs w:val="24"/>
              </w:rPr>
            </w:r>
            <w:r>
              <w:rPr>
                <w:bCs/>
                <w:color w:val="000000" w:themeColor="text1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23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14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  <w:p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</w:tr>
    </w:tbl>
    <w:p>
      <w:pPr>
        <w:ind w:left="6372"/>
        <w:rPr>
          <w:b/>
          <w:bCs/>
          <w:szCs w:val="24"/>
        </w:rPr>
      </w:pPr>
      <w:r>
        <w:rPr>
          <w:b/>
          <w:bCs/>
          <w:szCs w:val="24"/>
        </w:rPr>
        <w:t xml:space="preserve">Реквизиты грузополучателя 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tbl>
      <w:tblPr>
        <w:tblW w:w="12394" w:type="dxa"/>
        <w:tblInd w:w="864" w:type="dxa"/>
        <w:tblLayout w:type="fixed"/>
        <w:tblLook w:val="04A0" w:firstRow="1" w:lastRow="0" w:firstColumn="1" w:lastColumn="0" w:noHBand="0" w:noVBand="1"/>
      </w:tblPr>
      <w:tblGrid>
        <w:gridCol w:w="855"/>
        <w:gridCol w:w="3254"/>
        <w:gridCol w:w="8285"/>
      </w:tblGrid>
      <w:tr>
        <w:tblPrEx/>
        <w:trPr>
          <w:trHeight w:val="62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№ п/п</w:t>
            </w:r>
            <w:r>
              <w:rPr>
                <w:bCs/>
                <w:color w:val="000000"/>
                <w:szCs w:val="24"/>
              </w:rPr>
            </w:r>
            <w:r>
              <w:rPr>
                <w:bCs/>
                <w:color w:val="000000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67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Контактные данные </w: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81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Грузополучатель,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szCs w:val="24"/>
              </w:rPr>
              <w:t xml:space="preserve">образец заполнения УПД</w:t>
            </w:r>
            <w:r>
              <w:rPr>
                <w:bCs/>
                <w:color w:val="000000"/>
                <w:szCs w:val="24"/>
              </w:rPr>
            </w:r>
            <w:r>
              <w:rPr>
                <w:bCs/>
                <w:color w:val="000000"/>
                <w:szCs w:val="24"/>
              </w:rPr>
            </w:r>
          </w:p>
        </w:tc>
      </w:tr>
      <w:tr>
        <w:tblPrEx/>
        <w:trPr>
          <w:trHeight w:val="171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/>
          </w:tcPr>
          <w:p>
            <w:pPr>
              <w:pStyle w:val="935"/>
              <w:numPr>
                <w:ilvl w:val="0"/>
                <w:numId w:val="18"/>
              </w:numPr>
              <w:ind w:left="316" w:hanging="283"/>
              <w:tabs>
                <w:tab w:val="left" w:pos="360" w:leader="none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678" w:type="dxa"/>
            <w:vAlign w:val="center"/>
            <w:textDirection w:val="lrTb"/>
            <w:noWrap w:val="false"/>
          </w:tcPr>
          <w:p>
            <w:r>
              <w:t xml:space="preserve">Панаскин Сергей</w:t>
            </w:r>
            <w:r/>
          </w:p>
          <w:p>
            <w:r>
              <w:t xml:space="preserve">Николаевич</w:t>
            </w:r>
            <w:r/>
          </w:p>
          <w:p>
            <w:r>
              <w:t xml:space="preserve">+79098100966</w:t>
            </w:r>
            <w:r/>
          </w:p>
          <w:p>
            <w:r>
              <w:t xml:space="preserve">panaskin-sn@dgk.ru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819" w:type="dxa"/>
            <w:vAlign w:val="center"/>
            <w:textDirection w:val="lrTb"/>
            <w:noWrap w:val="false"/>
          </w:tcPr>
          <w:p>
            <w:r>
              <w:t xml:space="preserve">Грузополучатель: АО «ДГК» СП «Амурские тепловые сети»</w:t>
            </w:r>
            <w:r/>
          </w:p>
          <w:p>
            <w:r>
              <w:t xml:space="preserve">Адрес: 675007, Амурская область, г. Благовещенск, ул. Нагорная 19</w:t>
            </w:r>
            <w:r/>
          </w:p>
          <w:p>
            <w:r>
              <w:t xml:space="preserve">Покупатель: АО «ДГК»</w:t>
            </w:r>
            <w:r/>
          </w:p>
          <w:p>
            <w:r>
              <w:t xml:space="preserve">Адрес: 680000, Хабаровский край, г. Хабаровск, ул. Фрунзе, 49</w:t>
            </w:r>
            <w:r/>
          </w:p>
          <w:p>
            <w:r>
              <w:t xml:space="preserve">ИНН / КПП покупателя: 1434031363 / 280 145 002</w:t>
            </w:r>
            <w:r/>
          </w:p>
        </w:tc>
      </w:tr>
    </w:tbl>
    <w:p>
      <w:pPr>
        <w:pStyle w:val="940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tblLook w:val="04A0" w:firstRow="1" w:lastRow="0" w:firstColumn="1" w:lastColumn="0" w:noHBand="0" w:noVBand="1"/>
      </w:tblPr>
      <w:tblGrid>
        <w:gridCol w:w="5954"/>
        <w:gridCol w:w="5245"/>
      </w:tblGrid>
      <w:tr>
        <w:tblPrEx/>
        <w:trPr>
          <w:trHeight w:val="219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textDirection w:val="lrTb"/>
            <w:noWrap w:val="false"/>
          </w:tcPr>
          <w:p>
            <w:pPr>
              <w:tabs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ПОКУПАТЕЛЬ</w:t>
            </w:r>
            <w:r/>
          </w:p>
          <w:p>
            <w:pPr>
              <w:pStyle w:val="912"/>
              <w:ind w:firstLine="0"/>
              <w:jc w:val="both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  <w:bCs/>
                <w:spacing w:val="-3"/>
              </w:rPr>
              <w:t xml:space="preserve">                         </w:t>
            </w:r>
            <w:r>
              <w:rPr>
                <w:rFonts w:ascii="Times New Roman" w:hAnsi="Times New Roman" w:eastAsia="PT Astra Serif" w:cs="Times New Roman"/>
              </w:rPr>
              <w:t xml:space="preserve">      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pStyle w:val="912"/>
              <w:ind w:firstLine="0"/>
              <w:jc w:val="both"/>
            </w:pPr>
            <w:r/>
            <w:r/>
          </w:p>
          <w:p>
            <w:pPr>
              <w:pStyle w:val="912"/>
              <w:ind w:firstLine="0"/>
              <w:jc w:val="both"/>
            </w:pPr>
            <w:r/>
            <w:r/>
          </w:p>
          <w:p>
            <w:pPr>
              <w:pStyle w:val="912"/>
              <w:ind w:firstLine="0"/>
              <w:jc w:val="both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  <w:t xml:space="preserve">_______________________ </w:t>
            </w:r>
            <w:r>
              <w:rPr>
                <w:rFonts w:eastAsia="Liberation Serif"/>
              </w:rPr>
              <w:t xml:space="preserve"> 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pStyle w:val="912"/>
              <w:ind w:firstLine="0"/>
              <w:jc w:val="both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  <w:t xml:space="preserve">МП                                     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ПОСТАВЩИК</w:t>
            </w:r>
            <w:r/>
          </w:p>
          <w:p>
            <w:pPr>
              <w:pStyle w:val="912"/>
              <w:ind w:firstLine="0"/>
              <w:jc w:val="both"/>
            </w:pPr>
            <w:r/>
            <w:r/>
          </w:p>
          <w:p>
            <w:pPr>
              <w:pStyle w:val="912"/>
              <w:ind w:firstLine="0"/>
              <w:jc w:val="both"/>
            </w:pPr>
            <w:r/>
            <w:r/>
          </w:p>
          <w:p>
            <w:pPr>
              <w:pStyle w:val="912"/>
              <w:ind w:firstLine="0"/>
              <w:jc w:val="both"/>
            </w:pPr>
            <w:r/>
            <w:r/>
          </w:p>
          <w:p>
            <w:pPr>
              <w:pStyle w:val="912"/>
              <w:ind w:firstLine="0"/>
              <w:jc w:val="both"/>
            </w:pPr>
            <w:r>
              <w:rPr>
                <w:rFonts w:ascii="Times New Roman" w:hAnsi="Times New Roman" w:eastAsia="PT Astra Serif" w:cs="Times New Roman"/>
              </w:rPr>
              <w:t xml:space="preserve">_________________  </w:t>
            </w:r>
            <w:r/>
          </w:p>
          <w:p>
            <w:pPr>
              <w:pStyle w:val="912"/>
              <w:ind w:firstLine="0"/>
              <w:jc w:val="both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  <w:t xml:space="preserve">МП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</w:tr>
    </w:tbl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940"/>
        <w:ind w:firstLine="567"/>
        <w:jc w:val="center"/>
        <w:spacing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rPr>
          <w:rFonts w:eastAsia="PT Astra Serif"/>
          <w:szCs w:val="24"/>
        </w:rPr>
      </w:pPr>
      <w:r>
        <w:rPr>
          <w:rFonts w:eastAsia="PT Astra Serif"/>
          <w:b/>
          <w:szCs w:val="24"/>
        </w:rPr>
        <w:br w:type="page" w:clear="all"/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rPr>
          <w:rFonts w:eastAsia="PT Astra Serif"/>
          <w:szCs w:val="24"/>
        </w:rPr>
      </w:pP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Приложение № 2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к договору поставки №________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762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от ___________ 2026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ind w:left="12053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 </w:t>
      </w: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941"/>
        <w:spacing w:line="276" w:lineRule="auto"/>
        <w:tabs>
          <w:tab w:val="left" w:pos="898" w:leader="none"/>
        </w:tabs>
        <w:rPr>
          <w:rFonts w:ascii="Times New Roman" w:hAnsi="Times New Roman" w:eastAsia="PT Astra Serif"/>
          <w:sz w:val="24"/>
        </w:rPr>
      </w:pPr>
      <w:r>
        <w:rPr>
          <w:rFonts w:ascii="Times New Roman" w:hAnsi="Times New Roman" w:eastAsia="PT Astra Serif"/>
          <w:sz w:val="24"/>
        </w:rPr>
        <w:t xml:space="preserve">Форма предоставления сведений о цепочке собственников Поставщика, включая бенефициаров, (в том числе конечных собственников, выгодоприобретателей – физических лиц), а также о лицах, входящих в исполнительные органы Поставщика*</w:t>
      </w:r>
      <w:r>
        <w:rPr>
          <w:rFonts w:ascii="Times New Roman" w:hAnsi="Times New Roman" w:eastAsia="PT Astra Serif"/>
          <w:sz w:val="24"/>
        </w:rPr>
      </w:r>
      <w:r>
        <w:rPr>
          <w:rFonts w:ascii="Times New Roman" w:hAnsi="Times New Roman" w:eastAsia="PT Astra Serif"/>
          <w:sz w:val="24"/>
        </w:rPr>
      </w:r>
    </w:p>
    <w:tbl>
      <w:tblPr>
        <w:tblW w:w="154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14"/>
        <w:gridCol w:w="712"/>
        <w:gridCol w:w="774"/>
        <w:gridCol w:w="564"/>
        <w:gridCol w:w="990"/>
        <w:gridCol w:w="971"/>
        <w:gridCol w:w="566"/>
        <w:gridCol w:w="858"/>
        <w:gridCol w:w="540"/>
        <w:gridCol w:w="540"/>
        <w:gridCol w:w="563"/>
        <w:gridCol w:w="612"/>
        <w:gridCol w:w="564"/>
        <w:gridCol w:w="204"/>
        <w:gridCol w:w="361"/>
        <w:gridCol w:w="1348"/>
        <w:gridCol w:w="807"/>
        <w:gridCol w:w="958"/>
        <w:gridCol w:w="972"/>
        <w:gridCol w:w="972"/>
        <w:gridCol w:w="387"/>
        <w:gridCol w:w="365"/>
      </w:tblGrid>
      <w:tr>
        <w:tblPrEx/>
        <w:trPr>
          <w:cantSplit/>
        </w:trPr>
        <w:tc>
          <w:tcPr>
            <w:gridSpan w:val="6"/>
            <w:tcW w:w="4825" w:type="dxa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5"/>
            <w:tcW w:w="3067" w:type="dxa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Договор (реквизиты, предмет, цена, срок действия, и иные существенные условия договора)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612" w:type="dxa"/>
            <w:vMerge w:val="restart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№ п/п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8"/>
            <w:tcW w:w="6186" w:type="dxa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Информация о цепочке собственников контрагента, включая бенефициаров (в том числе конечных собственников, выгодоприобретателей – физических лиц)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W w:w="752" w:type="dxa"/>
            <w:vMerge w:val="restart"/>
            <w:textDirection w:val="btLr"/>
            <w:noWrap w:val="false"/>
          </w:tcPr>
          <w:p>
            <w:pPr>
              <w:pStyle w:val="941"/>
              <w:ind w:left="113" w:right="113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Сведения о составе исполни-тельных органов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  <w:tr>
        <w:tblPrEx/>
        <w:trPr>
          <w:cantSplit/>
          <w:trHeight w:val="1686"/>
        </w:trPr>
        <w:tc>
          <w:tcPr>
            <w:tcW w:w="814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ИНН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12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ОГРН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74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Наименование организации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4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Код ОКВД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90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Ф.И.О. руководителя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1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Серия, № документа, удостоверяющего личность руководителя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6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№ и дата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858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Предмет договора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40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Цена (млн. руб.)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40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Срок действия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3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Иные существенные условия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612" w:type="dxa"/>
            <w:vMerge w:val="continue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564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ИНН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W w:w="565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ОГРН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1348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Наименование/ Ф.И.О.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807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Адрес регистрации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58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Серия, № документа, удостоверяющего личность ( для физических лиц)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2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Руководитель / участник / акционер / собственник / бенефициар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2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Информация о подтверждающих документах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W w:w="752" w:type="dxa"/>
            <w:vMerge w:val="continue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cantSplit/>
          <w:trHeight w:val="726"/>
        </w:trPr>
        <w:tc>
          <w:tcPr>
            <w:tcW w:w="814" w:type="dxa"/>
            <w:vAlign w:val="center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12" w:type="dxa"/>
            <w:vAlign w:val="center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774" w:type="dxa"/>
            <w:vAlign w:val="center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4" w:type="dxa"/>
            <w:vAlign w:val="center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90" w:type="dxa"/>
            <w:vAlign w:val="center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1" w:type="dxa"/>
            <w:vAlign w:val="center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6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858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40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40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3" w:type="dxa"/>
            <w:textDirection w:val="btLr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612" w:type="dxa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564" w:type="dxa"/>
            <w:vAlign w:val="center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W w:w="565" w:type="dxa"/>
            <w:vAlign w:val="center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1348" w:type="dxa"/>
            <w:vAlign w:val="center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807" w:type="dxa"/>
            <w:vAlign w:val="center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58" w:type="dxa"/>
            <w:vAlign w:val="center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2" w:type="dxa"/>
            <w:vAlign w:val="center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972" w:type="dxa"/>
            <w:vAlign w:val="center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W w:w="752" w:type="dxa"/>
            <w:vAlign w:val="center"/>
            <w:textDirection w:val="lrTb"/>
            <w:noWrap w:val="false"/>
          </w:tcPr>
          <w:p>
            <w:pPr>
              <w:pStyle w:val="941"/>
              <w:jc w:val="center"/>
              <w:spacing w:before="0"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  <w:tr>
        <w:tblPrEx/>
        <w:trPr>
          <w:gridAfter w:val="1"/>
        </w:trPr>
        <w:tc>
          <w:tcPr>
            <w:gridSpan w:val="1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272" w:type="dxa"/>
            <w:textDirection w:val="lrTb"/>
            <w:noWrap w:val="false"/>
          </w:tcPr>
          <w:p>
            <w:pPr>
              <w:pStyle w:val="941"/>
              <w:spacing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  <w:t xml:space="preserve"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Покупателю, а также последним в органы государственной власти.</w:t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805" w:type="dxa"/>
            <w:textDirection w:val="lrTb"/>
            <w:noWrap w:val="false"/>
          </w:tcPr>
          <w:p>
            <w:pPr>
              <w:pStyle w:val="941"/>
              <w:spacing w:line="276" w:lineRule="auto"/>
              <w:tabs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</w:tbl>
    <w:p>
      <w:pPr>
        <w:pStyle w:val="912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12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  <w:t xml:space="preserve">Руководитель</w:t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12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12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  <w:t xml:space="preserve">_______________/ _________________</w:t>
      </w: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912"/>
        <w:ind w:firstLine="0"/>
        <w:jc w:val="both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PT Astra Serif" w:cs="Times New Roman"/>
        </w:rPr>
        <w:t xml:space="preserve">м.п.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sectPr>
      <w:footnotePr/>
      <w:endnotePr/>
      <w:type w:val="nextPage"/>
      <w:pgSz w:w="16838" w:h="11906" w:orient="landscape"/>
      <w:pgMar w:top="992" w:right="567" w:bottom="851" w:left="851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Verdana">
    <w:panose1 w:val="020B06040305040402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PT Astra Serif">
    <w:panose1 w:val="020A0603040505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pStyle w:val="926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27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3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num w:numId="1">
    <w:abstractNumId w:val="21"/>
  </w:num>
  <w:num w:numId="2">
    <w:abstractNumId w:val="14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2"/>
  </w:num>
  <w:num w:numId="6">
    <w:abstractNumId w:val="30"/>
  </w:num>
  <w:num w:numId="7">
    <w:abstractNumId w:val="5"/>
  </w:num>
  <w:num w:numId="8">
    <w:abstractNumId w:val="1"/>
  </w:num>
  <w:num w:numId="9">
    <w:abstractNumId w:val="31"/>
  </w:num>
  <w:num w:numId="10">
    <w:abstractNumId w:val="11"/>
  </w:num>
  <w:num w:numId="11">
    <w:abstractNumId w:val="13"/>
  </w:num>
  <w:num w:numId="12">
    <w:abstractNumId w:val="2"/>
  </w:num>
  <w:num w:numId="13">
    <w:abstractNumId w:val="18"/>
  </w:num>
  <w:num w:numId="14">
    <w:abstractNumId w:val="20"/>
  </w:num>
  <w:num w:numId="15">
    <w:abstractNumId w:val="3"/>
  </w:num>
  <w:num w:numId="16">
    <w:abstractNumId w:val="16"/>
  </w:num>
  <w:num w:numId="17">
    <w:abstractNumId w:val="32"/>
  </w:num>
  <w:num w:numId="18">
    <w:abstractNumId w:val="27"/>
  </w:num>
  <w:num w:numId="19">
    <w:abstractNumId w:val="26"/>
  </w:num>
  <w:num w:numId="20">
    <w:abstractNumId w:val="9"/>
  </w:num>
  <w:num w:numId="21">
    <w:abstractNumId w:val="12"/>
  </w:num>
  <w:num w:numId="22">
    <w:abstractNumId w:val="8"/>
  </w:num>
  <w:num w:numId="23">
    <w:abstractNumId w:val="4"/>
  </w:num>
  <w:num w:numId="24">
    <w:abstractNumId w:val="24"/>
  </w:num>
  <w:num w:numId="25">
    <w:abstractNumId w:val="19"/>
  </w:num>
  <w:num w:numId="26">
    <w:abstractNumId w:val="6"/>
  </w:num>
  <w:num w:numId="27">
    <w:abstractNumId w:val="23"/>
  </w:num>
  <w:num w:numId="28">
    <w:abstractNumId w:val="33"/>
  </w:num>
  <w:num w:numId="29">
    <w:abstractNumId w:val="29"/>
  </w:num>
  <w:num w:numId="30">
    <w:abstractNumId w:val="0"/>
  </w:num>
  <w:num w:numId="31">
    <w:abstractNumId w:val="7"/>
  </w:num>
  <w:num w:numId="32">
    <w:abstractNumId w:val="17"/>
  </w:num>
  <w:num w:numId="33">
    <w:abstractNumId w:val="1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 w:default="1">
    <w:name w:val="Normal"/>
    <w:qFormat/>
    <w:rPr>
      <w:sz w:val="24"/>
    </w:rPr>
  </w:style>
  <w:style w:type="paragraph" w:styleId="723">
    <w:name w:val="Heading 1"/>
    <w:basedOn w:val="722"/>
    <w:next w:val="722"/>
    <w:link w:val="933"/>
    <w:uiPriority w:val="9"/>
    <w:qFormat/>
    <w:pPr>
      <w:jc w:val="center"/>
      <w:keepNext/>
      <w:outlineLvl w:val="0"/>
    </w:pPr>
    <w:rPr>
      <w:b/>
      <w:szCs w:val="24"/>
    </w:rPr>
  </w:style>
  <w:style w:type="paragraph" w:styleId="724">
    <w:name w:val="Heading 2"/>
    <w:basedOn w:val="722"/>
    <w:next w:val="722"/>
    <w:link w:val="75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5">
    <w:name w:val="Heading 3"/>
    <w:basedOn w:val="722"/>
    <w:next w:val="722"/>
    <w:link w:val="75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6">
    <w:name w:val="Heading 4"/>
    <w:basedOn w:val="722"/>
    <w:next w:val="722"/>
    <w:link w:val="75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7">
    <w:name w:val="Heading 5"/>
    <w:basedOn w:val="722"/>
    <w:next w:val="722"/>
    <w:link w:val="7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28">
    <w:name w:val="Heading 6"/>
    <w:basedOn w:val="722"/>
    <w:next w:val="722"/>
    <w:link w:val="7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722"/>
    <w:next w:val="722"/>
    <w:link w:val="7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722"/>
    <w:next w:val="722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722"/>
    <w:next w:val="722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 w:default="1">
    <w:name w:val="Default Paragraph Font"/>
    <w:uiPriority w:val="1"/>
    <w:semiHidden/>
    <w:unhideWhenUsed/>
  </w:style>
  <w:style w:type="table" w:styleId="7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4" w:default="1">
    <w:name w:val="No List"/>
    <w:uiPriority w:val="99"/>
    <w:semiHidden/>
    <w:unhideWhenUsed/>
  </w:style>
  <w:style w:type="character" w:styleId="735" w:customStyle="1">
    <w:name w:val="Heading 2 Char"/>
    <w:basedOn w:val="732"/>
    <w:uiPriority w:val="9"/>
    <w:rPr>
      <w:rFonts w:ascii="Arial" w:hAnsi="Arial" w:eastAsia="Arial" w:cs="Arial"/>
      <w:sz w:val="34"/>
    </w:rPr>
  </w:style>
  <w:style w:type="character" w:styleId="736" w:customStyle="1">
    <w:name w:val="Heading 3 Char"/>
    <w:basedOn w:val="732"/>
    <w:uiPriority w:val="9"/>
    <w:rPr>
      <w:rFonts w:ascii="Arial" w:hAnsi="Arial" w:eastAsia="Arial" w:cs="Arial"/>
      <w:sz w:val="30"/>
      <w:szCs w:val="30"/>
    </w:rPr>
  </w:style>
  <w:style w:type="character" w:styleId="737" w:customStyle="1">
    <w:name w:val="Heading 4 Char"/>
    <w:basedOn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5 Char"/>
    <w:basedOn w:val="732"/>
    <w:uiPriority w:val="9"/>
    <w:rPr>
      <w:rFonts w:ascii="Arial" w:hAnsi="Arial" w:eastAsia="Arial" w:cs="Arial"/>
      <w:b/>
      <w:bCs/>
      <w:sz w:val="24"/>
      <w:szCs w:val="24"/>
    </w:rPr>
  </w:style>
  <w:style w:type="character" w:styleId="739" w:customStyle="1">
    <w:name w:val="Heading 6 Char"/>
    <w:basedOn w:val="732"/>
    <w:uiPriority w:val="9"/>
    <w:rPr>
      <w:rFonts w:ascii="Arial" w:hAnsi="Arial" w:eastAsia="Arial" w:cs="Arial"/>
      <w:b/>
      <w:bCs/>
      <w:sz w:val="22"/>
      <w:szCs w:val="22"/>
    </w:rPr>
  </w:style>
  <w:style w:type="character" w:styleId="740" w:customStyle="1">
    <w:name w:val="Heading 7 Char"/>
    <w:basedOn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 w:customStyle="1">
    <w:name w:val="Heading 8 Char"/>
    <w:basedOn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42" w:customStyle="1">
    <w:name w:val="Heading 9 Char"/>
    <w:basedOn w:val="732"/>
    <w:uiPriority w:val="9"/>
    <w:rPr>
      <w:rFonts w:ascii="Arial" w:hAnsi="Arial" w:eastAsia="Arial" w:cs="Arial"/>
      <w:i/>
      <w:iCs/>
      <w:sz w:val="21"/>
      <w:szCs w:val="21"/>
    </w:rPr>
  </w:style>
  <w:style w:type="character" w:styleId="743" w:customStyle="1">
    <w:name w:val="Title Char"/>
    <w:basedOn w:val="732"/>
    <w:uiPriority w:val="10"/>
    <w:rPr>
      <w:sz w:val="48"/>
      <w:szCs w:val="48"/>
    </w:rPr>
  </w:style>
  <w:style w:type="character" w:styleId="744" w:customStyle="1">
    <w:name w:val="Subtitle Char"/>
    <w:basedOn w:val="732"/>
    <w:uiPriority w:val="11"/>
    <w:rPr>
      <w:sz w:val="24"/>
      <w:szCs w:val="24"/>
    </w:rPr>
  </w:style>
  <w:style w:type="character" w:styleId="745" w:customStyle="1">
    <w:name w:val="Quote Char"/>
    <w:uiPriority w:val="29"/>
    <w:rPr>
      <w:i/>
    </w:rPr>
  </w:style>
  <w:style w:type="character" w:styleId="746" w:customStyle="1">
    <w:name w:val="Intense Quote Char"/>
    <w:uiPriority w:val="30"/>
    <w:rPr>
      <w:i/>
    </w:rPr>
  </w:style>
  <w:style w:type="character" w:styleId="747" w:customStyle="1">
    <w:name w:val="Header Char"/>
    <w:basedOn w:val="732"/>
    <w:uiPriority w:val="99"/>
  </w:style>
  <w:style w:type="character" w:styleId="748" w:customStyle="1">
    <w:name w:val="Endnote Text Char"/>
    <w:uiPriority w:val="99"/>
    <w:rPr>
      <w:sz w:val="20"/>
    </w:rPr>
  </w:style>
  <w:style w:type="character" w:styleId="749" w:customStyle="1">
    <w:name w:val="Heading 1 Char"/>
    <w:basedOn w:val="732"/>
    <w:uiPriority w:val="9"/>
    <w:rPr>
      <w:rFonts w:ascii="Arial" w:hAnsi="Arial" w:eastAsia="Arial" w:cs="Arial"/>
      <w:sz w:val="40"/>
      <w:szCs w:val="40"/>
    </w:rPr>
  </w:style>
  <w:style w:type="character" w:styleId="750" w:customStyle="1">
    <w:name w:val="Заголовок 2 Знак"/>
    <w:basedOn w:val="732"/>
    <w:link w:val="724"/>
    <w:uiPriority w:val="9"/>
    <w:rPr>
      <w:rFonts w:ascii="Arial" w:hAnsi="Arial" w:eastAsia="Arial" w:cs="Arial"/>
      <w:sz w:val="34"/>
    </w:rPr>
  </w:style>
  <w:style w:type="character" w:styleId="751" w:customStyle="1">
    <w:name w:val="Заголовок 3 Знак"/>
    <w:basedOn w:val="732"/>
    <w:link w:val="725"/>
    <w:uiPriority w:val="9"/>
    <w:rPr>
      <w:rFonts w:ascii="Arial" w:hAnsi="Arial" w:eastAsia="Arial" w:cs="Arial"/>
      <w:sz w:val="30"/>
      <w:szCs w:val="30"/>
    </w:rPr>
  </w:style>
  <w:style w:type="character" w:styleId="752" w:customStyle="1">
    <w:name w:val="Заголовок 4 Знак"/>
    <w:basedOn w:val="732"/>
    <w:link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53" w:customStyle="1">
    <w:name w:val="Заголовок 5 Знак"/>
    <w:basedOn w:val="732"/>
    <w:link w:val="727"/>
    <w:uiPriority w:val="9"/>
    <w:rPr>
      <w:rFonts w:ascii="Arial" w:hAnsi="Arial" w:eastAsia="Arial" w:cs="Arial"/>
      <w:b/>
      <w:bCs/>
      <w:sz w:val="24"/>
      <w:szCs w:val="24"/>
    </w:rPr>
  </w:style>
  <w:style w:type="character" w:styleId="754" w:customStyle="1">
    <w:name w:val="Заголовок 6 Знак"/>
    <w:basedOn w:val="732"/>
    <w:link w:val="728"/>
    <w:uiPriority w:val="9"/>
    <w:rPr>
      <w:rFonts w:ascii="Arial" w:hAnsi="Arial" w:eastAsia="Arial" w:cs="Arial"/>
      <w:b/>
      <w:bCs/>
      <w:sz w:val="22"/>
      <w:szCs w:val="22"/>
    </w:rPr>
  </w:style>
  <w:style w:type="character" w:styleId="755" w:customStyle="1">
    <w:name w:val="Заголовок 7 Знак"/>
    <w:basedOn w:val="732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 w:customStyle="1">
    <w:name w:val="Заголовок 8 Знак"/>
    <w:basedOn w:val="732"/>
    <w:link w:val="730"/>
    <w:uiPriority w:val="9"/>
    <w:rPr>
      <w:rFonts w:ascii="Arial" w:hAnsi="Arial" w:eastAsia="Arial" w:cs="Arial"/>
      <w:i/>
      <w:iCs/>
      <w:sz w:val="22"/>
      <w:szCs w:val="22"/>
    </w:rPr>
  </w:style>
  <w:style w:type="character" w:styleId="757" w:customStyle="1">
    <w:name w:val="Заголовок 9 Знак"/>
    <w:basedOn w:val="732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Title"/>
    <w:basedOn w:val="722"/>
    <w:next w:val="722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 w:customStyle="1">
    <w:name w:val="Заголовок Знак"/>
    <w:basedOn w:val="732"/>
    <w:link w:val="758"/>
    <w:uiPriority w:val="10"/>
    <w:rPr>
      <w:sz w:val="48"/>
      <w:szCs w:val="48"/>
    </w:rPr>
  </w:style>
  <w:style w:type="paragraph" w:styleId="760">
    <w:name w:val="Subtitle"/>
    <w:basedOn w:val="722"/>
    <w:next w:val="722"/>
    <w:link w:val="761"/>
    <w:uiPriority w:val="11"/>
    <w:qFormat/>
    <w:pPr>
      <w:spacing w:before="200" w:after="200"/>
    </w:pPr>
    <w:rPr>
      <w:szCs w:val="24"/>
    </w:rPr>
  </w:style>
  <w:style w:type="character" w:styleId="761" w:customStyle="1">
    <w:name w:val="Подзаголовок Знак"/>
    <w:basedOn w:val="732"/>
    <w:link w:val="760"/>
    <w:uiPriority w:val="11"/>
    <w:rPr>
      <w:sz w:val="24"/>
      <w:szCs w:val="24"/>
    </w:rPr>
  </w:style>
  <w:style w:type="paragraph" w:styleId="762">
    <w:name w:val="Quote"/>
    <w:basedOn w:val="722"/>
    <w:next w:val="722"/>
    <w:link w:val="763"/>
    <w:uiPriority w:val="29"/>
    <w:qFormat/>
    <w:pPr>
      <w:ind w:left="720" w:right="720"/>
    </w:pPr>
    <w:rPr>
      <w:i/>
    </w:rPr>
  </w:style>
  <w:style w:type="character" w:styleId="763" w:customStyle="1">
    <w:name w:val="Цитата 2 Знак"/>
    <w:link w:val="762"/>
    <w:uiPriority w:val="29"/>
    <w:rPr>
      <w:i/>
    </w:rPr>
  </w:style>
  <w:style w:type="paragraph" w:styleId="764">
    <w:name w:val="Intense Quote"/>
    <w:basedOn w:val="722"/>
    <w:next w:val="722"/>
    <w:link w:val="76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 w:customStyle="1">
    <w:name w:val="Выделенная цитата Знак"/>
    <w:link w:val="764"/>
    <w:uiPriority w:val="30"/>
    <w:rPr>
      <w:i/>
    </w:rPr>
  </w:style>
  <w:style w:type="character" w:styleId="766" w:customStyle="1">
    <w:name w:val="Верхний колонтитул Знак"/>
    <w:basedOn w:val="732"/>
    <w:link w:val="922"/>
    <w:uiPriority w:val="99"/>
  </w:style>
  <w:style w:type="character" w:styleId="767" w:customStyle="1">
    <w:name w:val="Footer Char"/>
    <w:basedOn w:val="732"/>
    <w:uiPriority w:val="99"/>
  </w:style>
  <w:style w:type="paragraph" w:styleId="768">
    <w:name w:val="Caption"/>
    <w:basedOn w:val="722"/>
    <w:next w:val="722"/>
    <w:link w:val="76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69" w:customStyle="1">
    <w:name w:val="Caption Char"/>
    <w:uiPriority w:val="99"/>
  </w:style>
  <w:style w:type="table" w:styleId="770" w:customStyle="1">
    <w:name w:val="Table Grid Light"/>
    <w:basedOn w:val="73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3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3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3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3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3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3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33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3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3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3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33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3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3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33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3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3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3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33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3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3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33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3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3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3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33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3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3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33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auto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9" w:customStyle="1">
    <w:name w:val="Grid Table 4 - Accent 2"/>
    <w:basedOn w:val="733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auto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3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uto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33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auto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33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auto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3" w:customStyle="1">
    <w:name w:val="Grid Table 4 - Accent 6"/>
    <w:basedOn w:val="733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auto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3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3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auto"/>
    </w:tblPr>
    <w:tblStylePr w:type="band1Horz">
      <w:tcPr>
        <w:shd w:val="clear" w:color="b3d0eb" w:themeColor="accent1" w:themeTint="75" w:fill="auto"/>
      </w:tcPr>
    </w:tblStylePr>
    <w:tblStylePr w:type="band1Vert">
      <w:tcPr>
        <w:shd w:val="clear" w:color="b3d0eb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auto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3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auto"/>
    </w:tblPr>
    <w:tblStylePr w:type="band1Horz">
      <w:tcPr>
        <w:shd w:val="clear" w:color="f6c3a0" w:themeColor="accent2" w:themeTint="75" w:fill="auto"/>
      </w:tcPr>
    </w:tblStylePr>
    <w:tblStylePr w:type="band1Vert">
      <w:tcPr>
        <w:shd w:val="clear" w:color="f6c3a0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auto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3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auto"/>
    </w:tblPr>
    <w:tblStylePr w:type="band1Horz">
      <w:tcPr>
        <w:shd w:val="clear" w:color="d5d5d5" w:themeColor="accent3" w:themeTint="75" w:fill="auto"/>
      </w:tcPr>
    </w:tblStylePr>
    <w:tblStylePr w:type="band1Vert">
      <w:tcPr>
        <w:shd w:val="clear" w:color="d5d5d5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uto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3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auto"/>
    </w:tblPr>
    <w:tblStylePr w:type="band1Horz">
      <w:tcPr>
        <w:shd w:val="clear" w:color="ffe28a" w:themeColor="accent4" w:themeTint="75" w:fill="auto"/>
      </w:tcPr>
    </w:tblStylePr>
    <w:tblStylePr w:type="band1Vert">
      <w:tcPr>
        <w:shd w:val="clear" w:color="ffe28a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auto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3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auto"/>
    </w:tblPr>
    <w:tblStylePr w:type="band1Horz">
      <w:tcPr>
        <w:shd w:val="clear" w:color="a9bee4" w:themeColor="accent5" w:themeTint="75" w:fill="auto"/>
      </w:tcPr>
    </w:tblStylePr>
    <w:tblStylePr w:type="band1Vert">
      <w:tcPr>
        <w:shd w:val="clear" w:color="a9be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auto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3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auto"/>
    </w:tblPr>
    <w:tblStylePr w:type="band1Horz">
      <w:tcPr>
        <w:shd w:val="clear" w:color="bcdba8" w:themeColor="accent6" w:themeTint="75" w:fill="auto"/>
      </w:tcPr>
    </w:tblStylePr>
    <w:tblStylePr w:type="band1Vert">
      <w:tcPr>
        <w:shd w:val="clear" w:color="bcdba8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auto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3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33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auto"/>
      </w:tcPr>
    </w:tblStylePr>
    <w:tblStylePr w:type="band1Vert"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3" w:customStyle="1">
    <w:name w:val="Grid Table 6 Colorful - Accent 2"/>
    <w:basedOn w:val="73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auto"/>
      </w:tcPr>
    </w:tblStylePr>
    <w:tblStylePr w:type="band1Vert"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3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auto"/>
      </w:tcPr>
    </w:tblStylePr>
    <w:tblStylePr w:type="band1Vert"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3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auto"/>
      </w:tcPr>
    </w:tblStylePr>
    <w:tblStylePr w:type="band1Vert"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33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auto"/>
      </w:tcPr>
    </w:tblStylePr>
    <w:tblStylePr w:type="band1Vert"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7" w:customStyle="1">
    <w:name w:val="Grid Table 6 Colorful - Accent 6"/>
    <w:basedOn w:val="733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auto"/>
      </w:tcPr>
    </w:tblStylePr>
    <w:tblStylePr w:type="band1Vert"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8">
    <w:name w:val="Grid Table 7 Colorful"/>
    <w:basedOn w:val="73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33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auto"/>
      </w:tcPr>
    </w:tblStylePr>
    <w:tblStylePr w:type="band1Vert"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auto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33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auto"/>
      </w:tcPr>
    </w:tblStylePr>
    <w:tblStylePr w:type="band1Vert"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auto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3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auto"/>
      </w:tcPr>
    </w:tblStylePr>
    <w:tblStylePr w:type="band1Vert"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auto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33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auto"/>
      </w:tcPr>
    </w:tblStylePr>
    <w:tblStylePr w:type="band1Vert"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auto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33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auto"/>
      </w:tcPr>
    </w:tblStylePr>
    <w:tblStylePr w:type="band1Vert"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auto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33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auto"/>
      </w:tcPr>
    </w:tblStylePr>
    <w:tblStylePr w:type="band1Vert"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auto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3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33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33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33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33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33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33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3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33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33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3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33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33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33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3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33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3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3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3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33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33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3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33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33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3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33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33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33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3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33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auto"/>
    </w:tblPr>
    <w:tblStylePr w:type="band1Horz">
      <w:tcPr>
        <w:shd w:val="clear" w:color="5b9bd5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auto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33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auto"/>
    </w:tblPr>
    <w:tblStylePr w:type="band1Horz">
      <w:tcPr>
        <w:shd w:val="clear" w:color="f4b184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auto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3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auto"/>
    </w:tblPr>
    <w:tblStylePr w:type="band1Horz">
      <w:tcPr>
        <w:shd w:val="clear" w:color="c9c9c9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auto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33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auto"/>
    </w:tblPr>
    <w:tblStylePr w:type="band1Horz">
      <w:tcPr>
        <w:shd w:val="clear" w:color="ffd865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auto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33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auto"/>
    </w:tblPr>
    <w:tblStylePr w:type="band1Horz">
      <w:tcPr>
        <w:shd w:val="clear" w:color="8da9db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auto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33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uto"/>
    </w:tblPr>
    <w:tblStylePr w:type="band1Horz">
      <w:tcPr>
        <w:shd w:val="clear" w:color="a9d08e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uto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3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33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2" w:customStyle="1">
    <w:name w:val="List Table 6 Colorful - Accent 2"/>
    <w:basedOn w:val="733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3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33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33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6" w:customStyle="1">
    <w:name w:val="List Table 6 Colorful - Accent 6"/>
    <w:basedOn w:val="733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3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33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auto"/>
      </w:tcPr>
    </w:tblStylePr>
    <w:tblStylePr w:type="band1Vert"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auto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33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auto"/>
      </w:tcPr>
    </w:tblStylePr>
    <w:tblStylePr w:type="band1Vert"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auto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3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auto"/>
      </w:tcPr>
    </w:tblStylePr>
    <w:tblStylePr w:type="band1Vert"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auto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33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auto"/>
      </w:tcPr>
    </w:tblStylePr>
    <w:tblStylePr w:type="band1Vert"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auto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33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auto"/>
      </w:tcPr>
    </w:tblStylePr>
    <w:tblStylePr w:type="band1Vert"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auto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33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auto"/>
      </w:tcPr>
    </w:tblStylePr>
    <w:tblStylePr w:type="band1Vert"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auto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3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75" w:customStyle="1">
    <w:name w:val="Lined - Accent 1"/>
    <w:basedOn w:val="73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</w:style>
  <w:style w:type="table" w:styleId="876" w:customStyle="1">
    <w:name w:val="Lined - Accent 2"/>
    <w:basedOn w:val="73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</w:style>
  <w:style w:type="table" w:styleId="877" w:customStyle="1">
    <w:name w:val="Lined - Accent 3"/>
    <w:basedOn w:val="73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</w:style>
  <w:style w:type="table" w:styleId="878" w:customStyle="1">
    <w:name w:val="Lined - Accent 4"/>
    <w:basedOn w:val="73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</w:style>
  <w:style w:type="table" w:styleId="879" w:customStyle="1">
    <w:name w:val="Lined - Accent 5"/>
    <w:basedOn w:val="73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</w:style>
  <w:style w:type="table" w:styleId="880" w:customStyle="1">
    <w:name w:val="Lined - Accent 6"/>
    <w:basedOn w:val="73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</w:style>
  <w:style w:type="table" w:styleId="881" w:customStyle="1">
    <w:name w:val="Bordered &amp; Lined - Accent"/>
    <w:basedOn w:val="73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82" w:customStyle="1">
    <w:name w:val="Bordered &amp; Lined - Accent 1"/>
    <w:basedOn w:val="733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auto"/>
      </w:tcPr>
    </w:tblStylePr>
  </w:style>
  <w:style w:type="table" w:styleId="883" w:customStyle="1">
    <w:name w:val="Bordered &amp; Lined - Accent 2"/>
    <w:basedOn w:val="733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auto"/>
      </w:tcPr>
    </w:tblStylePr>
  </w:style>
  <w:style w:type="table" w:styleId="884" w:customStyle="1">
    <w:name w:val="Bordered &amp; Lined - Accent 3"/>
    <w:basedOn w:val="733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uto"/>
      </w:tcPr>
    </w:tblStylePr>
  </w:style>
  <w:style w:type="table" w:styleId="885" w:customStyle="1">
    <w:name w:val="Bordered &amp; Lined - Accent 4"/>
    <w:basedOn w:val="733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auto"/>
      </w:tcPr>
    </w:tblStylePr>
  </w:style>
  <w:style w:type="table" w:styleId="886" w:customStyle="1">
    <w:name w:val="Bordered &amp; Lined - Accent 5"/>
    <w:basedOn w:val="733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auto"/>
      </w:tcPr>
    </w:tblStylePr>
  </w:style>
  <w:style w:type="table" w:styleId="887" w:customStyle="1">
    <w:name w:val="Bordered &amp; Lined - Accent 6"/>
    <w:basedOn w:val="733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auto"/>
      </w:tcPr>
    </w:tblStylePr>
  </w:style>
  <w:style w:type="table" w:styleId="888" w:customStyle="1">
    <w:name w:val="Bordered"/>
    <w:basedOn w:val="73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33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0" w:customStyle="1">
    <w:name w:val="Bordered - Accent 2"/>
    <w:basedOn w:val="73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3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3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33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4" w:customStyle="1">
    <w:name w:val="Bordered - Accent 6"/>
    <w:basedOn w:val="73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paragraph" w:styleId="896">
    <w:name w:val="endnote text"/>
    <w:basedOn w:val="722"/>
    <w:link w:val="897"/>
    <w:uiPriority w:val="99"/>
    <w:semiHidden/>
    <w:unhideWhenUsed/>
    <w:rPr>
      <w:sz w:val="20"/>
    </w:rPr>
  </w:style>
  <w:style w:type="character" w:styleId="897" w:customStyle="1">
    <w:name w:val="Текст концевой сноски Знак"/>
    <w:link w:val="896"/>
    <w:uiPriority w:val="99"/>
    <w:rPr>
      <w:sz w:val="20"/>
    </w:rPr>
  </w:style>
  <w:style w:type="character" w:styleId="898">
    <w:name w:val="endnote reference"/>
    <w:basedOn w:val="732"/>
    <w:uiPriority w:val="99"/>
    <w:semiHidden/>
    <w:unhideWhenUsed/>
    <w:rPr>
      <w:vertAlign w:val="superscript"/>
    </w:rPr>
  </w:style>
  <w:style w:type="paragraph" w:styleId="899">
    <w:name w:val="toc 1"/>
    <w:basedOn w:val="722"/>
    <w:next w:val="722"/>
    <w:uiPriority w:val="39"/>
    <w:unhideWhenUsed/>
    <w:pPr>
      <w:spacing w:after="57"/>
    </w:pPr>
  </w:style>
  <w:style w:type="paragraph" w:styleId="900">
    <w:name w:val="toc 2"/>
    <w:basedOn w:val="722"/>
    <w:next w:val="722"/>
    <w:uiPriority w:val="39"/>
    <w:unhideWhenUsed/>
    <w:pPr>
      <w:ind w:left="283"/>
      <w:spacing w:after="57"/>
    </w:pPr>
  </w:style>
  <w:style w:type="paragraph" w:styleId="901">
    <w:name w:val="toc 3"/>
    <w:basedOn w:val="722"/>
    <w:next w:val="722"/>
    <w:uiPriority w:val="39"/>
    <w:unhideWhenUsed/>
    <w:pPr>
      <w:ind w:left="567"/>
      <w:spacing w:after="57"/>
    </w:pPr>
  </w:style>
  <w:style w:type="paragraph" w:styleId="902">
    <w:name w:val="toc 4"/>
    <w:basedOn w:val="722"/>
    <w:next w:val="722"/>
    <w:uiPriority w:val="39"/>
    <w:unhideWhenUsed/>
    <w:pPr>
      <w:ind w:left="850"/>
      <w:spacing w:after="57"/>
    </w:pPr>
  </w:style>
  <w:style w:type="paragraph" w:styleId="903">
    <w:name w:val="toc 5"/>
    <w:basedOn w:val="722"/>
    <w:next w:val="722"/>
    <w:uiPriority w:val="39"/>
    <w:unhideWhenUsed/>
    <w:pPr>
      <w:ind w:left="1134"/>
      <w:spacing w:after="57"/>
    </w:pPr>
  </w:style>
  <w:style w:type="paragraph" w:styleId="904">
    <w:name w:val="toc 6"/>
    <w:basedOn w:val="722"/>
    <w:next w:val="722"/>
    <w:uiPriority w:val="39"/>
    <w:unhideWhenUsed/>
    <w:pPr>
      <w:ind w:left="1417"/>
      <w:spacing w:after="57"/>
    </w:pPr>
  </w:style>
  <w:style w:type="paragraph" w:styleId="905">
    <w:name w:val="toc 7"/>
    <w:basedOn w:val="722"/>
    <w:next w:val="722"/>
    <w:uiPriority w:val="39"/>
    <w:unhideWhenUsed/>
    <w:pPr>
      <w:ind w:left="1701"/>
      <w:spacing w:after="57"/>
    </w:pPr>
  </w:style>
  <w:style w:type="paragraph" w:styleId="906">
    <w:name w:val="toc 8"/>
    <w:basedOn w:val="722"/>
    <w:next w:val="722"/>
    <w:uiPriority w:val="39"/>
    <w:unhideWhenUsed/>
    <w:pPr>
      <w:ind w:left="1984"/>
      <w:spacing w:after="57"/>
    </w:pPr>
  </w:style>
  <w:style w:type="paragraph" w:styleId="907">
    <w:name w:val="toc 9"/>
    <w:basedOn w:val="722"/>
    <w:next w:val="722"/>
    <w:uiPriority w:val="39"/>
    <w:unhideWhenUsed/>
    <w:pPr>
      <w:ind w:left="2268"/>
      <w:spacing w:after="57"/>
    </w:pPr>
  </w:style>
  <w:style w:type="paragraph" w:styleId="908">
    <w:name w:val="TOC Heading"/>
    <w:uiPriority w:val="39"/>
    <w:unhideWhenUsed/>
  </w:style>
  <w:style w:type="paragraph" w:styleId="909">
    <w:name w:val="table of figures"/>
    <w:basedOn w:val="722"/>
    <w:next w:val="722"/>
    <w:uiPriority w:val="99"/>
    <w:unhideWhenUsed/>
  </w:style>
  <w:style w:type="paragraph" w:styleId="910" w:customStyle="1">
    <w:name w:val="ConsTitle"/>
    <w:rPr>
      <w:rFonts w:ascii="Arial" w:hAnsi="Arial" w:cs="Arial"/>
      <w:b/>
      <w:bCs/>
      <w:sz w:val="16"/>
      <w:szCs w:val="16"/>
    </w:rPr>
  </w:style>
  <w:style w:type="paragraph" w:styleId="911" w:customStyle="1">
    <w:name w:val="ConsNonformat"/>
    <w:rPr>
      <w:rFonts w:ascii="Courier New" w:hAnsi="Courier New" w:cs="Courier New"/>
    </w:rPr>
  </w:style>
  <w:style w:type="paragraph" w:styleId="912" w:customStyle="1">
    <w:name w:val="ConsNormal"/>
    <w:link w:val="924"/>
    <w:pPr>
      <w:ind w:firstLine="720"/>
    </w:pPr>
    <w:rPr>
      <w:rFonts w:ascii="Arial" w:hAnsi="Arial" w:cs="Arial"/>
      <w:sz w:val="24"/>
      <w:szCs w:val="24"/>
    </w:rPr>
  </w:style>
  <w:style w:type="paragraph" w:styleId="913" w:customStyle="1">
    <w:name w:val="ConsCell"/>
    <w:rPr>
      <w:rFonts w:ascii="Arial" w:hAnsi="Arial" w:cs="Arial"/>
      <w:sz w:val="24"/>
      <w:szCs w:val="24"/>
    </w:rPr>
  </w:style>
  <w:style w:type="paragraph" w:styleId="914">
    <w:name w:val="Body Text Indent"/>
    <w:basedOn w:val="722"/>
    <w:semiHidden/>
    <w:pPr>
      <w:ind w:firstLine="720"/>
      <w:jc w:val="both"/>
    </w:pPr>
    <w:rPr>
      <w:sz w:val="28"/>
    </w:rPr>
  </w:style>
  <w:style w:type="paragraph" w:styleId="915">
    <w:name w:val="Body Text"/>
    <w:basedOn w:val="722"/>
    <w:semiHidden/>
    <w:pPr>
      <w:jc w:val="both"/>
    </w:pPr>
    <w:rPr>
      <w:szCs w:val="24"/>
    </w:rPr>
  </w:style>
  <w:style w:type="paragraph" w:styleId="916">
    <w:name w:val="footnote text"/>
    <w:basedOn w:val="722"/>
    <w:link w:val="928"/>
    <w:uiPriority w:val="99"/>
    <w:rPr>
      <w:sz w:val="20"/>
    </w:rPr>
  </w:style>
  <w:style w:type="character" w:styleId="917">
    <w:name w:val="footnote reference"/>
    <w:semiHidden/>
    <w:rPr>
      <w:vertAlign w:val="superscript"/>
    </w:rPr>
  </w:style>
  <w:style w:type="character" w:styleId="918">
    <w:name w:val="annotation reference"/>
    <w:semiHidden/>
    <w:rPr>
      <w:sz w:val="16"/>
      <w:szCs w:val="16"/>
    </w:rPr>
  </w:style>
  <w:style w:type="paragraph" w:styleId="919">
    <w:name w:val="annotation text"/>
    <w:basedOn w:val="722"/>
    <w:semiHidden/>
    <w:rPr>
      <w:sz w:val="20"/>
    </w:rPr>
  </w:style>
  <w:style w:type="paragraph" w:styleId="920">
    <w:name w:val="Footer"/>
    <w:basedOn w:val="722"/>
    <w:link w:val="932"/>
    <w:uiPriority w:val="99"/>
    <w:pPr>
      <w:tabs>
        <w:tab w:val="center" w:pos="4677" w:leader="none"/>
        <w:tab w:val="right" w:pos="9355" w:leader="none"/>
      </w:tabs>
    </w:pPr>
  </w:style>
  <w:style w:type="character" w:styleId="921">
    <w:name w:val="page number"/>
    <w:basedOn w:val="732"/>
    <w:semiHidden/>
  </w:style>
  <w:style w:type="paragraph" w:styleId="922">
    <w:name w:val="Header"/>
    <w:basedOn w:val="722"/>
    <w:link w:val="766"/>
    <w:semiHidden/>
    <w:pPr>
      <w:tabs>
        <w:tab w:val="center" w:pos="4677" w:leader="none"/>
        <w:tab w:val="right" w:pos="9355" w:leader="none"/>
      </w:tabs>
    </w:pPr>
  </w:style>
  <w:style w:type="paragraph" w:styleId="923">
    <w:name w:val="Balloon Text"/>
    <w:basedOn w:val="722"/>
    <w:semiHidden/>
    <w:rPr>
      <w:rFonts w:ascii="Tahoma" w:hAnsi="Tahoma" w:cs="Tahoma"/>
      <w:sz w:val="16"/>
      <w:szCs w:val="16"/>
    </w:rPr>
  </w:style>
  <w:style w:type="character" w:styleId="924" w:customStyle="1">
    <w:name w:val="ConsNormal Знак"/>
    <w:link w:val="912"/>
    <w:rPr>
      <w:rFonts w:ascii="Arial" w:hAnsi="Arial" w:cs="Arial"/>
      <w:sz w:val="24"/>
      <w:szCs w:val="24"/>
    </w:rPr>
  </w:style>
  <w:style w:type="paragraph" w:styleId="925">
    <w:name w:val="Normal (Web)"/>
    <w:basedOn w:val="722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926" w:customStyle="1">
    <w:name w:val="Пункт_1"/>
    <w:basedOn w:val="722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927" w:customStyle="1">
    <w:name w:val="Пункт_2"/>
    <w:basedOn w:val="722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928" w:customStyle="1">
    <w:name w:val="Текст сноски Знак"/>
    <w:link w:val="916"/>
    <w:uiPriority w:val="99"/>
  </w:style>
  <w:style w:type="paragraph" w:styleId="929" w:customStyle="1">
    <w:name w:val="Таблица текст"/>
    <w:basedOn w:val="722"/>
    <w:pPr>
      <w:ind w:left="57" w:right="57"/>
      <w:spacing w:before="40" w:after="40"/>
    </w:pPr>
  </w:style>
  <w:style w:type="paragraph" w:styleId="930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931">
    <w:name w:val="Table Grid"/>
    <w:basedOn w:val="733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32" w:customStyle="1">
    <w:name w:val="Нижний колонтитул Знак"/>
    <w:link w:val="920"/>
    <w:uiPriority w:val="99"/>
    <w:rPr>
      <w:sz w:val="24"/>
    </w:rPr>
  </w:style>
  <w:style w:type="character" w:styleId="933" w:customStyle="1">
    <w:name w:val="Заголовок 1 Знак"/>
    <w:basedOn w:val="732"/>
    <w:link w:val="723"/>
    <w:uiPriority w:val="9"/>
    <w:rPr>
      <w:b/>
      <w:sz w:val="24"/>
      <w:szCs w:val="24"/>
    </w:rPr>
  </w:style>
  <w:style w:type="paragraph" w:styleId="934" w:customStyle="1">
    <w:name w:val="Default"/>
    <w:rPr>
      <w:color w:val="000000"/>
      <w:sz w:val="24"/>
      <w:szCs w:val="24"/>
    </w:rPr>
  </w:style>
  <w:style w:type="paragraph" w:styleId="935">
    <w:name w:val="List Paragraph"/>
    <w:basedOn w:val="722"/>
    <w:link w:val="942"/>
    <w:uiPriority w:val="34"/>
    <w:qFormat/>
    <w:pPr>
      <w:contextualSpacing/>
      <w:ind w:left="720"/>
    </w:pPr>
  </w:style>
  <w:style w:type="paragraph" w:styleId="936" w:customStyle="1">
    <w:name w:val="Знак Знак Знак2 Знак1"/>
    <w:basedOn w:val="72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937">
    <w:name w:val="Hyperlink"/>
    <w:rPr>
      <w:color w:val="0066cc"/>
      <w:u w:val="single"/>
    </w:rPr>
  </w:style>
  <w:style w:type="character" w:styleId="938" w:customStyle="1">
    <w:name w:val="Сноска (2)_"/>
    <w:link w:val="939"/>
    <w:rPr>
      <w:shd w:val="clear" w:color="auto" w:fill="ffffff"/>
    </w:rPr>
  </w:style>
  <w:style w:type="paragraph" w:styleId="939" w:customStyle="1">
    <w:name w:val="Сноска (2)"/>
    <w:basedOn w:val="722"/>
    <w:link w:val="938"/>
    <w:pPr>
      <w:spacing w:before="300" w:after="480" w:line="0" w:lineRule="atLeast"/>
      <w:shd w:val="clear" w:color="auto" w:fill="ffffff"/>
    </w:pPr>
    <w:rPr>
      <w:sz w:val="20"/>
    </w:rPr>
  </w:style>
  <w:style w:type="paragraph" w:styleId="940" w:customStyle="1">
    <w:name w:val="text"/>
    <w:basedOn w:val="923"/>
    <w:pPr>
      <w:spacing w:after="24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cs="Times New Roman"/>
      <w:sz w:val="24"/>
      <w:szCs w:val="24"/>
    </w:rPr>
  </w:style>
  <w:style w:type="paragraph" w:styleId="941" w:customStyle="1">
    <w:name w:val="Main text"/>
    <w:pPr>
      <w:jc w:val="both"/>
      <w:spacing w:before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Verdana" w:hAnsi="Verdana"/>
      <w:sz w:val="18"/>
      <w:szCs w:val="24"/>
    </w:rPr>
  </w:style>
  <w:style w:type="character" w:styleId="942" w:customStyle="1">
    <w:name w:val="Абзац списка Знак"/>
    <w:link w:val="935"/>
    <w:uiPriority w:val="34"/>
    <w:rPr>
      <w:sz w:val="24"/>
    </w:rPr>
  </w:style>
  <w:style w:type="paragraph" w:styleId="943" w:customStyle="1">
    <w:name w:val="Обычный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paragraph" w:styleId="944" w:customStyle="1">
    <w:name w:val="Абзац списка1"/>
    <w:pPr>
      <w:contextualSpacing/>
      <w:ind w:left="720"/>
      <w:spacing w:after="200"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consultantplus://offline/ref=94D5CE8889791A29DE57299515463A9D6134D8237B999C803E6F853513x2A2P" TargetMode="External"/><Relationship Id="rId11" Type="http://schemas.openxmlformats.org/officeDocument/2006/relationships/hyperlink" Target="consultantplus://offline/ref=94D5CE8889791A29DE57299515463A9D6135D2287D929C803E6F853513x2A2P" TargetMode="External"/><Relationship Id="rId12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B9CAD-FAE3-4EFD-87FA-125005FAF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lastModifiedBy>protsevskaya_ee</cp:lastModifiedBy>
  <cp:revision>114</cp:revision>
  <dcterms:created xsi:type="dcterms:W3CDTF">2021-06-24T23:18:00Z</dcterms:created>
  <dcterms:modified xsi:type="dcterms:W3CDTF">2026-08-26T07:39:00Z</dcterms:modified>
</cp:coreProperties>
</file>